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44781">
      <w:pPr>
        <w:jc w:val="center"/>
        <w:rPr>
          <w:rFonts w:hint="eastAsia" w:ascii="黑体" w:hAnsi="黑体" w:eastAsia="黑体"/>
          <w:b/>
          <w:sz w:val="44"/>
          <w:szCs w:val="44"/>
        </w:rPr>
      </w:pPr>
    </w:p>
    <w:p w14:paraId="47C43CD5">
      <w:pPr>
        <w:jc w:val="center"/>
        <w:rPr>
          <w:rFonts w:hint="eastAsia" w:ascii="黑体" w:hAnsi="黑体" w:eastAsia="黑体"/>
          <w:b/>
          <w:sz w:val="44"/>
          <w:szCs w:val="44"/>
        </w:rPr>
      </w:pPr>
    </w:p>
    <w:p w14:paraId="01E5EFBA">
      <w:pPr>
        <w:jc w:val="center"/>
        <w:rPr>
          <w:rFonts w:hint="eastAsia" w:ascii="黑体" w:hAnsi="黑体" w:eastAsia="黑体"/>
          <w:b/>
          <w:sz w:val="44"/>
          <w:szCs w:val="44"/>
        </w:rPr>
      </w:pPr>
    </w:p>
    <w:p w14:paraId="2AEC3903">
      <w:pPr>
        <w:jc w:val="center"/>
        <w:rPr>
          <w:rFonts w:ascii="黑体" w:hAnsi="黑体" w:eastAsia="黑体"/>
          <w:b/>
          <w:sz w:val="44"/>
          <w:szCs w:val="44"/>
        </w:rPr>
      </w:pPr>
      <w:r>
        <w:rPr>
          <w:rFonts w:hint="eastAsia" w:ascii="黑体" w:hAnsi="黑体" w:eastAsia="黑体"/>
          <w:b/>
          <w:sz w:val="44"/>
          <w:szCs w:val="44"/>
        </w:rPr>
        <w:t xml:space="preserve">开题报告 </w:t>
      </w:r>
    </w:p>
    <w:p w14:paraId="3C550DA6">
      <w:pPr>
        <w:jc w:val="both"/>
        <w:rPr>
          <w:b/>
          <w:sz w:val="44"/>
        </w:rPr>
      </w:pPr>
    </w:p>
    <w:p w14:paraId="61A1C1C3">
      <w:pPr>
        <w:jc w:val="center"/>
        <w:rPr>
          <w:b/>
          <w:sz w:val="44"/>
        </w:rPr>
      </w:pPr>
    </w:p>
    <w:tbl>
      <w:tblPr>
        <w:tblStyle w:val="8"/>
        <w:tblW w:w="0" w:type="auto"/>
        <w:tblInd w:w="900" w:type="dxa"/>
        <w:tblLayout w:type="fixed"/>
        <w:tblCellMar>
          <w:top w:w="0" w:type="dxa"/>
          <w:left w:w="108" w:type="dxa"/>
          <w:bottom w:w="0" w:type="dxa"/>
          <w:right w:w="108" w:type="dxa"/>
        </w:tblCellMar>
      </w:tblPr>
      <w:tblGrid>
        <w:gridCol w:w="2006"/>
        <w:gridCol w:w="5540"/>
      </w:tblGrid>
      <w:tr w14:paraId="769B5464">
        <w:tblPrEx>
          <w:tblCellMar>
            <w:top w:w="0" w:type="dxa"/>
            <w:left w:w="108" w:type="dxa"/>
            <w:bottom w:w="0" w:type="dxa"/>
            <w:right w:w="108" w:type="dxa"/>
          </w:tblCellMar>
        </w:tblPrEx>
        <w:tc>
          <w:tcPr>
            <w:tcW w:w="2006" w:type="dxa"/>
            <w:vAlign w:val="bottom"/>
          </w:tcPr>
          <w:p w14:paraId="57A7AF76">
            <w:pPr>
              <w:spacing w:beforeLines="100"/>
              <w:ind w:left="171"/>
              <w:jc w:val="distribute"/>
              <w:rPr>
                <w:b/>
                <w:bCs/>
                <w:sz w:val="32"/>
              </w:rPr>
            </w:pPr>
            <w:r>
              <w:rPr>
                <w:rFonts w:hint="eastAsia"/>
                <w:b/>
                <w:bCs/>
                <w:sz w:val="32"/>
              </w:rPr>
              <w:t>课题名称</w:t>
            </w:r>
          </w:p>
        </w:tc>
        <w:tc>
          <w:tcPr>
            <w:tcW w:w="5540" w:type="dxa"/>
            <w:tcBorders>
              <w:bottom w:val="single" w:color="auto" w:sz="4" w:space="0"/>
            </w:tcBorders>
            <w:vAlign w:val="center"/>
          </w:tcPr>
          <w:p w14:paraId="314AD6B4">
            <w:pPr>
              <w:pStyle w:val="2"/>
              <w:spacing w:before="240" w:line="240" w:lineRule="auto"/>
              <w:ind w:left="171"/>
              <w:rPr>
                <w:szCs w:val="24"/>
              </w:rPr>
            </w:pPr>
            <w:r>
              <w:rPr>
                <w:rFonts w:hint="eastAsia" w:cstheme="minorBidi"/>
                <w:b/>
                <w:bCs/>
                <w:kern w:val="2"/>
                <w:sz w:val="32"/>
                <w:szCs w:val="24"/>
                <w:lang w:val="en-US" w:eastAsia="zh-CN" w:bidi="ar-SA"/>
              </w:rPr>
              <w:t>共享单车出行里的数据逻辑人机协同分析与优化研究</w:t>
            </w:r>
          </w:p>
        </w:tc>
      </w:tr>
      <w:tr w14:paraId="64C50FCD">
        <w:tblPrEx>
          <w:tblCellMar>
            <w:top w:w="0" w:type="dxa"/>
            <w:left w:w="108" w:type="dxa"/>
            <w:bottom w:w="0" w:type="dxa"/>
            <w:right w:w="108" w:type="dxa"/>
          </w:tblCellMar>
        </w:tblPrEx>
        <w:tc>
          <w:tcPr>
            <w:tcW w:w="2006" w:type="dxa"/>
            <w:vAlign w:val="bottom"/>
          </w:tcPr>
          <w:p w14:paraId="604AB155">
            <w:pPr>
              <w:spacing w:beforeLines="100"/>
              <w:ind w:left="171"/>
              <w:jc w:val="distribute"/>
              <w:rPr>
                <w:b/>
                <w:bCs/>
                <w:sz w:val="32"/>
              </w:rPr>
            </w:pPr>
            <w:r>
              <w:rPr>
                <w:rFonts w:hint="eastAsia"/>
                <w:b/>
                <w:bCs/>
                <w:sz w:val="32"/>
              </w:rPr>
              <w:t>选用数据集</w:t>
            </w:r>
          </w:p>
        </w:tc>
        <w:tc>
          <w:tcPr>
            <w:tcW w:w="5540" w:type="dxa"/>
            <w:tcBorders>
              <w:top w:val="single" w:color="auto" w:sz="4" w:space="0"/>
              <w:bottom w:val="single" w:color="auto" w:sz="4" w:space="0"/>
            </w:tcBorders>
            <w:vAlign w:val="center"/>
          </w:tcPr>
          <w:p w14:paraId="04E0FBA1">
            <w:pPr>
              <w:spacing w:beforeLines="100"/>
              <w:ind w:left="171"/>
              <w:jc w:val="center"/>
              <w:rPr>
                <w:rFonts w:ascii="楷体_GB2312" w:eastAsia="楷体_GB2312"/>
                <w:b/>
                <w:bCs/>
                <w:sz w:val="32"/>
              </w:rPr>
            </w:pPr>
            <w:r>
              <w:rPr>
                <w:rFonts w:hint="eastAsia" w:ascii="楷体_GB2312" w:eastAsia="楷体_GB2312"/>
                <w:b/>
                <w:bCs/>
                <w:sz w:val="32"/>
              </w:rPr>
              <w:t>某</w:t>
            </w:r>
            <w:r>
              <w:rPr>
                <w:rFonts w:hint="eastAsia" w:ascii="楷体_GB2312" w:eastAsia="楷体_GB2312"/>
                <w:b/>
                <w:bCs/>
                <w:sz w:val="32"/>
                <w:lang w:eastAsia="zh-CN"/>
              </w:rPr>
              <w:t>地区</w:t>
            </w:r>
            <w:r>
              <w:rPr>
                <w:rFonts w:hint="eastAsia" w:ascii="楷体_GB2312" w:eastAsia="楷体_GB2312"/>
                <w:b/>
                <w:bCs/>
                <w:sz w:val="32"/>
              </w:rPr>
              <w:t xml:space="preserve">共享单车数据集 </w:t>
            </w:r>
          </w:p>
        </w:tc>
      </w:tr>
      <w:tr w14:paraId="5594944E">
        <w:tblPrEx>
          <w:tblCellMar>
            <w:top w:w="0" w:type="dxa"/>
            <w:left w:w="108" w:type="dxa"/>
            <w:bottom w:w="0" w:type="dxa"/>
            <w:right w:w="108" w:type="dxa"/>
          </w:tblCellMar>
        </w:tblPrEx>
        <w:tc>
          <w:tcPr>
            <w:tcW w:w="2006" w:type="dxa"/>
            <w:vAlign w:val="bottom"/>
          </w:tcPr>
          <w:p w14:paraId="2C137339">
            <w:pPr>
              <w:spacing w:beforeLines="100"/>
              <w:ind w:left="171"/>
              <w:jc w:val="distribute"/>
              <w:rPr>
                <w:b/>
                <w:bCs/>
                <w:sz w:val="32"/>
              </w:rPr>
            </w:pPr>
            <w:r>
              <w:rPr>
                <w:rFonts w:hint="eastAsia"/>
                <w:b/>
                <w:bCs/>
                <w:sz w:val="32"/>
              </w:rPr>
              <w:t>课题承担人</w:t>
            </w:r>
          </w:p>
        </w:tc>
        <w:tc>
          <w:tcPr>
            <w:tcW w:w="5540" w:type="dxa"/>
            <w:tcBorders>
              <w:top w:val="single" w:color="auto" w:sz="4" w:space="0"/>
              <w:bottom w:val="single" w:color="auto" w:sz="4" w:space="0"/>
            </w:tcBorders>
            <w:vAlign w:val="center"/>
          </w:tcPr>
          <w:p w14:paraId="080A76DC">
            <w:pPr>
              <w:spacing w:beforeLines="100"/>
              <w:ind w:left="171"/>
              <w:jc w:val="center"/>
              <w:rPr>
                <w:rFonts w:hint="eastAsia" w:ascii="楷体_GB2312" w:eastAsia="楷体_GB2312"/>
                <w:b/>
                <w:bCs/>
                <w:sz w:val="32"/>
                <w:lang w:eastAsia="zh-CN"/>
              </w:rPr>
            </w:pPr>
            <w:r>
              <w:rPr>
                <w:rFonts w:hint="eastAsia" w:ascii="楷体_GB2312" w:eastAsia="楷体_GB2312"/>
                <w:b/>
                <w:bCs/>
                <w:sz w:val="32"/>
                <w:lang w:eastAsia="zh-CN"/>
              </w:rPr>
              <w:t>余亦周</w:t>
            </w:r>
            <w:r>
              <w:rPr>
                <w:rFonts w:hint="eastAsia" w:ascii="楷体_GB2312" w:eastAsia="楷体_GB2312"/>
                <w:b/>
                <w:bCs/>
                <w:sz w:val="32"/>
              </w:rPr>
              <w:t xml:space="preserve"> </w:t>
            </w:r>
            <w:r>
              <w:rPr>
                <w:rFonts w:hint="eastAsia" w:ascii="楷体_GB2312" w:eastAsia="楷体_GB2312"/>
                <w:b/>
                <w:bCs/>
                <w:sz w:val="32"/>
                <w:lang w:eastAsia="zh-CN"/>
              </w:rPr>
              <w:t>骆欣然</w:t>
            </w:r>
          </w:p>
        </w:tc>
      </w:tr>
      <w:tr w14:paraId="2EBCA95C">
        <w:tblPrEx>
          <w:tblCellMar>
            <w:top w:w="0" w:type="dxa"/>
            <w:left w:w="108" w:type="dxa"/>
            <w:bottom w:w="0" w:type="dxa"/>
            <w:right w:w="108" w:type="dxa"/>
          </w:tblCellMar>
        </w:tblPrEx>
        <w:tc>
          <w:tcPr>
            <w:tcW w:w="2006" w:type="dxa"/>
            <w:vAlign w:val="bottom"/>
          </w:tcPr>
          <w:p w14:paraId="1D54178C">
            <w:pPr>
              <w:spacing w:beforeLines="100"/>
              <w:ind w:left="171"/>
              <w:jc w:val="distribute"/>
              <w:rPr>
                <w:b/>
                <w:bCs/>
                <w:sz w:val="32"/>
              </w:rPr>
            </w:pPr>
            <w:r>
              <w:rPr>
                <w:rFonts w:hint="eastAsia"/>
                <w:b/>
                <w:bCs/>
                <w:sz w:val="32"/>
              </w:rPr>
              <w:t>所在学校</w:t>
            </w:r>
          </w:p>
        </w:tc>
        <w:tc>
          <w:tcPr>
            <w:tcW w:w="5540" w:type="dxa"/>
            <w:tcBorders>
              <w:top w:val="single" w:color="auto" w:sz="4" w:space="0"/>
              <w:bottom w:val="single" w:color="auto" w:sz="4" w:space="0"/>
            </w:tcBorders>
            <w:vAlign w:val="center"/>
          </w:tcPr>
          <w:p w14:paraId="03994AEA">
            <w:pPr>
              <w:spacing w:beforeLines="100"/>
              <w:ind w:left="171"/>
              <w:jc w:val="center"/>
              <w:rPr>
                <w:rFonts w:ascii="楷体_GB2312" w:eastAsia="楷体_GB2312"/>
                <w:b/>
                <w:bCs/>
                <w:sz w:val="32"/>
              </w:rPr>
            </w:pPr>
            <w:r>
              <w:rPr>
                <w:rFonts w:hint="eastAsia" w:ascii="楷体_GB2312" w:eastAsia="楷体_GB2312"/>
                <w:b/>
                <w:bCs/>
                <w:sz w:val="32"/>
              </w:rPr>
              <w:t>徐州市矿大实验学校</w:t>
            </w:r>
            <w:r>
              <w:rPr>
                <w:rFonts w:hint="eastAsia" w:ascii="楷体_GB2312" w:eastAsia="楷体_GB2312"/>
                <w:b/>
                <w:bCs/>
                <w:sz w:val="32"/>
                <w:lang w:eastAsia="zh-CN"/>
              </w:rPr>
              <w:t>、</w:t>
            </w:r>
            <w:r>
              <w:rPr>
                <w:rFonts w:hint="eastAsia" w:ascii="楷体_GB2312" w:eastAsia="楷体_GB2312"/>
                <w:b/>
                <w:bCs/>
                <w:sz w:val="32"/>
                <w:lang w:val="en-US" w:eastAsia="zh-CN"/>
              </w:rPr>
              <w:t>徐州中学</w:t>
            </w:r>
            <w:r>
              <w:rPr>
                <w:rFonts w:hint="eastAsia" w:ascii="楷体_GB2312" w:eastAsia="楷体_GB2312"/>
                <w:b/>
                <w:bCs/>
                <w:sz w:val="32"/>
              </w:rPr>
              <w:t xml:space="preserve"> </w:t>
            </w:r>
          </w:p>
        </w:tc>
      </w:tr>
      <w:tr w14:paraId="232F45AC">
        <w:tblPrEx>
          <w:tblCellMar>
            <w:top w:w="0" w:type="dxa"/>
            <w:left w:w="108" w:type="dxa"/>
            <w:bottom w:w="0" w:type="dxa"/>
            <w:right w:w="108" w:type="dxa"/>
          </w:tblCellMar>
        </w:tblPrEx>
        <w:tc>
          <w:tcPr>
            <w:tcW w:w="2006" w:type="dxa"/>
            <w:vAlign w:val="bottom"/>
          </w:tcPr>
          <w:p w14:paraId="58932A1D">
            <w:pPr>
              <w:spacing w:beforeLines="100"/>
              <w:ind w:left="171"/>
              <w:jc w:val="distribute"/>
              <w:rPr>
                <w:b/>
                <w:bCs/>
                <w:sz w:val="32"/>
              </w:rPr>
            </w:pPr>
            <w:r>
              <w:rPr>
                <w:rFonts w:hint="eastAsia"/>
                <w:b/>
                <w:bCs/>
                <w:sz w:val="32"/>
              </w:rPr>
              <w:t>开题日期</w:t>
            </w:r>
          </w:p>
        </w:tc>
        <w:tc>
          <w:tcPr>
            <w:tcW w:w="5540" w:type="dxa"/>
            <w:tcBorders>
              <w:top w:val="single" w:color="auto" w:sz="4" w:space="0"/>
              <w:bottom w:val="single" w:color="auto" w:sz="4" w:space="0"/>
            </w:tcBorders>
            <w:vAlign w:val="center"/>
          </w:tcPr>
          <w:p w14:paraId="5B53315E">
            <w:pPr>
              <w:spacing w:beforeLines="100"/>
              <w:ind w:left="171"/>
              <w:jc w:val="center"/>
              <w:rPr>
                <w:rFonts w:ascii="楷体_GB2312" w:eastAsia="楷体_GB2312"/>
                <w:b/>
                <w:bCs/>
                <w:sz w:val="32"/>
              </w:rPr>
            </w:pPr>
            <w:r>
              <w:rPr>
                <w:rFonts w:hint="eastAsia" w:ascii="楷体_GB2312" w:eastAsia="楷体_GB2312"/>
                <w:b/>
                <w:bCs/>
                <w:sz w:val="32"/>
              </w:rPr>
              <w:t>202</w:t>
            </w:r>
            <w:r>
              <w:rPr>
                <w:rFonts w:hint="eastAsia" w:ascii="楷体_GB2312" w:eastAsia="楷体_GB2312"/>
                <w:b/>
                <w:bCs/>
                <w:sz w:val="32"/>
                <w:lang w:val="en-US" w:eastAsia="zh-CN"/>
              </w:rPr>
              <w:t>5</w:t>
            </w:r>
            <w:r>
              <w:rPr>
                <w:rFonts w:hint="eastAsia" w:ascii="楷体_GB2312" w:eastAsia="楷体_GB2312"/>
                <w:b/>
                <w:bCs/>
                <w:sz w:val="32"/>
              </w:rPr>
              <w:t>.</w:t>
            </w:r>
            <w:r>
              <w:rPr>
                <w:rFonts w:hint="eastAsia" w:ascii="楷体_GB2312" w:eastAsia="楷体_GB2312"/>
                <w:b/>
                <w:bCs/>
                <w:sz w:val="32"/>
                <w:lang w:val="en-US" w:eastAsia="zh-CN"/>
              </w:rPr>
              <w:t>6</w:t>
            </w:r>
            <w:r>
              <w:rPr>
                <w:rFonts w:hint="eastAsia" w:ascii="楷体_GB2312" w:eastAsia="楷体_GB2312"/>
                <w:b/>
                <w:bCs/>
                <w:sz w:val="32"/>
              </w:rPr>
              <w:t xml:space="preserve">.9 </w:t>
            </w:r>
          </w:p>
        </w:tc>
      </w:tr>
    </w:tbl>
    <w:p w14:paraId="6959CD32">
      <w:pPr>
        <w:rPr>
          <w:b/>
          <w:sz w:val="44"/>
        </w:rPr>
      </w:pPr>
    </w:p>
    <w:p w14:paraId="2C2D3964">
      <w:pPr>
        <w:rPr>
          <w:b/>
          <w:sz w:val="44"/>
        </w:rPr>
      </w:pPr>
    </w:p>
    <w:p w14:paraId="65AC02A8">
      <w:pPr>
        <w:rPr>
          <w:b/>
          <w:sz w:val="44"/>
        </w:rPr>
      </w:pPr>
    </w:p>
    <w:p w14:paraId="077EE1B2">
      <w:pPr>
        <w:adjustRightInd w:val="0"/>
        <w:snapToGrid w:val="0"/>
        <w:spacing w:line="360" w:lineRule="auto"/>
        <w:jc w:val="center"/>
        <w:rPr>
          <w:rFonts w:ascii="仿宋_GB2312" w:eastAsia="仿宋_GB2312"/>
          <w:spacing w:val="20"/>
          <w:sz w:val="30"/>
          <w:szCs w:val="30"/>
        </w:rPr>
      </w:pPr>
    </w:p>
    <w:p w14:paraId="3CA6633F">
      <w:pPr>
        <w:adjustRightInd w:val="0"/>
        <w:snapToGrid w:val="0"/>
        <w:spacing w:line="360" w:lineRule="auto"/>
        <w:rPr>
          <w:rFonts w:ascii="仿宋_GB2312" w:eastAsia="仿宋_GB2312"/>
          <w:sz w:val="36"/>
        </w:rPr>
        <w:sectPr>
          <w:footerReference r:id="rId3" w:type="default"/>
          <w:footerReference r:id="rId4" w:type="even"/>
          <w:pgSz w:w="11906" w:h="16838"/>
          <w:pgMar w:top="1418" w:right="1418" w:bottom="1418" w:left="1418" w:header="851" w:footer="992" w:gutter="0"/>
          <w:cols w:space="425" w:num="1"/>
          <w:docGrid w:linePitch="312" w:charSpace="0"/>
        </w:sectPr>
      </w:pPr>
    </w:p>
    <w:tbl>
      <w:tblPr>
        <w:tblStyle w:val="8"/>
        <w:tblW w:w="54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8"/>
      </w:tblGrid>
      <w:tr w14:paraId="0593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0B7B2BEF">
            <w:pPr>
              <w:spacing w:beforeLines="50" w:line="360" w:lineRule="auto"/>
              <w:rPr>
                <w:rFonts w:ascii="仿宋_GB2312" w:eastAsia="黑体"/>
                <w:bCs/>
              </w:rPr>
            </w:pPr>
            <w:r>
              <w:rPr>
                <w:rFonts w:hint="eastAsia" w:ascii="黑体" w:eastAsia="黑体"/>
                <w:b/>
                <w:sz w:val="30"/>
                <w:szCs w:val="30"/>
              </w:rPr>
              <w:t>一、</w:t>
            </w:r>
            <w:r>
              <w:rPr>
                <w:rFonts w:ascii="黑体" w:eastAsia="黑体"/>
                <w:b/>
                <w:sz w:val="30"/>
                <w:szCs w:val="30"/>
              </w:rPr>
              <w:t>研究背景与价值</w:t>
            </w:r>
          </w:p>
        </w:tc>
      </w:tr>
      <w:tr w14:paraId="7AC3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7" w:hRule="atLeast"/>
        </w:trPr>
        <w:tc>
          <w:tcPr>
            <w:tcW w:w="5000" w:type="pct"/>
          </w:tcPr>
          <w:p w14:paraId="7165BA73">
            <w:p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我们生活在互联网时代，随着</w:t>
            </w:r>
            <w:r>
              <w:rPr>
                <w:rFonts w:hint="eastAsia" w:ascii="微软雅黑" w:hAnsi="微软雅黑"/>
                <w:szCs w:val="21"/>
                <w:shd w:val="clear" w:color="auto" w:fill="FFFFFF"/>
              </w:rPr>
              <w:t>数据的获取、记录手段不断增多，形成大量的、真实的、低价值密度的、信息隐藏的数据，如何挖掘这些数据的内在价值，提取数据中有效信息十分重要。</w:t>
            </w:r>
            <w:bookmarkStart w:id="0" w:name="_GoBack"/>
            <w:bookmarkEnd w:id="0"/>
          </w:p>
          <w:p w14:paraId="0143D531">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近几年来</w:t>
            </w:r>
            <w:r>
              <w:rPr>
                <w:rFonts w:ascii="微软雅黑" w:hAnsi="微软雅黑"/>
                <w:szCs w:val="21"/>
                <w:shd w:val="clear" w:color="auto" w:fill="FFFFFF"/>
              </w:rPr>
              <w:t>城市</w:t>
            </w:r>
            <w:r>
              <w:rPr>
                <w:rFonts w:hint="eastAsia" w:ascii="微软雅黑" w:hAnsi="微软雅黑"/>
                <w:szCs w:val="21"/>
                <w:shd w:val="clear" w:color="auto" w:fill="FFFFFF"/>
              </w:rPr>
              <w:t>的变</w:t>
            </w:r>
            <w:r>
              <w:rPr>
                <w:rFonts w:ascii="微软雅黑" w:hAnsi="微软雅黑"/>
                <w:szCs w:val="21"/>
                <w:shd w:val="clear" w:color="auto" w:fill="FFFFFF"/>
              </w:rPr>
              <w:t>化进程不断加速，城市</w:t>
            </w:r>
            <w:r>
              <w:rPr>
                <w:rFonts w:hint="eastAsia" w:ascii="微软雅黑" w:hAnsi="微软雅黑"/>
                <w:szCs w:val="21"/>
                <w:shd w:val="clear" w:color="auto" w:fill="FFFFFF"/>
              </w:rPr>
              <w:t>的</w:t>
            </w:r>
            <w:r>
              <w:rPr>
                <w:rFonts w:ascii="微软雅黑" w:hAnsi="微软雅黑"/>
                <w:szCs w:val="21"/>
                <w:shd w:val="clear" w:color="auto" w:fill="FFFFFF"/>
              </w:rPr>
              <w:t>交通问题越来越突出，交通拥堵和污染问题日益严重。而共享经济的兴起和大城市的共享单车热潮，对解决城市交通问题提供了新的思路和途径。共享单车因其方便快捷，绿色环保，低碳出行等特点，在城市内得到了广泛的应用</w:t>
            </w:r>
            <w:r>
              <w:rPr>
                <w:rFonts w:hint="eastAsia" w:ascii="微软雅黑" w:hAnsi="微软雅黑"/>
                <w:szCs w:val="21"/>
                <w:shd w:val="clear" w:color="auto" w:fill="FFFFFF"/>
              </w:rPr>
              <w:t>，</w:t>
            </w:r>
            <w:r>
              <w:rPr>
                <w:rFonts w:ascii="微软雅黑" w:hAnsi="微软雅黑"/>
                <w:szCs w:val="21"/>
                <w:shd w:val="clear" w:color="auto" w:fill="FFFFFF"/>
              </w:rPr>
              <w:t>逐步成为城市交通出行的主流方式之一</w:t>
            </w:r>
            <w:r>
              <w:rPr>
                <w:rFonts w:hint="eastAsia" w:ascii="微软雅黑" w:hAnsi="微软雅黑"/>
                <w:szCs w:val="21"/>
                <w:shd w:val="clear" w:color="auto" w:fill="FFFFFF"/>
              </w:rPr>
              <w:t>。</w:t>
            </w:r>
            <w:r>
              <w:rPr>
                <w:rFonts w:ascii="微软雅黑" w:hAnsi="微软雅黑"/>
                <w:szCs w:val="21"/>
                <w:shd w:val="clear" w:color="auto" w:fill="FFFFFF"/>
              </w:rPr>
              <w:t>相比</w:t>
            </w:r>
            <w:r>
              <w:rPr>
                <w:rFonts w:hint="eastAsia" w:ascii="微软雅黑" w:hAnsi="微软雅黑"/>
                <w:szCs w:val="21"/>
                <w:shd w:val="clear" w:color="auto" w:fill="FFFFFF"/>
              </w:rPr>
              <w:t>较</w:t>
            </w:r>
            <w:r>
              <w:rPr>
                <w:rFonts w:ascii="微软雅黑" w:hAnsi="微软雅黑"/>
                <w:szCs w:val="21"/>
                <w:shd w:val="clear" w:color="auto" w:fill="FFFFFF"/>
              </w:rPr>
              <w:t>于传统交通工具，共享单车使用方便、成本低廉，且可以快速解决“最后一公里”问题。共享单车的兴起，反映了一种新的出行文化和生活方式，引起了广泛的讨论和关注。</w:t>
            </w:r>
          </w:p>
          <w:p w14:paraId="5BB40413">
            <w:pPr>
              <w:snapToGrid w:val="0"/>
              <w:spacing w:line="360" w:lineRule="auto"/>
              <w:ind w:firstLine="480" w:firstLineChars="200"/>
              <w:rPr>
                <w:szCs w:val="28"/>
              </w:rPr>
            </w:pPr>
            <w:r>
              <w:rPr>
                <w:rFonts w:ascii="微软雅黑" w:hAnsi="微软雅黑"/>
                <w:szCs w:val="21"/>
                <w:shd w:val="clear" w:color="auto" w:fill="FFFFFF"/>
              </w:rPr>
              <w:t>目前，全国各大城市共享单车出行量数据呈现出爆发式增长</w:t>
            </w:r>
            <w:r>
              <w:rPr>
                <w:rFonts w:hint="eastAsia" w:ascii="微软雅黑" w:hAnsi="微软雅黑"/>
                <w:szCs w:val="21"/>
                <w:shd w:val="clear" w:color="auto" w:fill="FFFFFF"/>
              </w:rPr>
              <w:t>，</w:t>
            </w:r>
            <w:r>
              <w:rPr>
                <w:rFonts w:ascii="微软雅黑" w:hAnsi="微软雅黑"/>
                <w:szCs w:val="21"/>
                <w:shd w:val="clear" w:color="auto" w:fill="FFFFFF"/>
              </w:rPr>
              <w:t>趋势非常惊人。通过对这些数据的分析和研究，可以更加深入地了解共享单车的使用情况和用户习惯，为未来共享单车行业的发展提供有价值的参考数据和建议。</w:t>
            </w:r>
          </w:p>
        </w:tc>
      </w:tr>
      <w:tr w14:paraId="2C2F4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5CE1A62E">
            <w:pPr>
              <w:spacing w:beforeLines="50" w:line="360" w:lineRule="auto"/>
              <w:rPr>
                <w:rFonts w:ascii="仿宋_GB2312" w:eastAsia="黑体"/>
                <w:bCs/>
              </w:rPr>
            </w:pPr>
            <w:r>
              <w:rPr>
                <w:rFonts w:ascii="黑体" w:eastAsia="黑体"/>
                <w:b/>
                <w:sz w:val="30"/>
                <w:szCs w:val="30"/>
              </w:rPr>
              <w:t>二、文献综述与核心概念</w:t>
            </w:r>
          </w:p>
        </w:tc>
      </w:tr>
      <w:tr w14:paraId="09F2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5000" w:type="pct"/>
          </w:tcPr>
          <w:p w14:paraId="2792AFAC">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在共享单车广泛应用的同时，也发现很多问题。</w:t>
            </w:r>
          </w:p>
          <w:p w14:paraId="123832BE">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2017年8月的人民日报：共享单车用起来容易规范起来难，坚持“多方共治”</w:t>
            </w:r>
          </w:p>
          <w:p w14:paraId="57222D10">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2018年8月的人民日报：绿色出行，中国共享单车走世界</w:t>
            </w:r>
          </w:p>
          <w:p w14:paraId="373A18D2">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2022年3月的人民日报：共享单车停车难，如何平衡好秩序与效率的关系？</w:t>
            </w:r>
          </w:p>
          <w:p w14:paraId="5925E1F3">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2022年4月的人民日报：持续“升级”，共享单车更便利</w:t>
            </w:r>
          </w:p>
          <w:p w14:paraId="6038D874">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2023年3月的人民日报：停车困难、价格上涨！共享单车越来越“难”骑了吗？</w:t>
            </w:r>
          </w:p>
          <w:p w14:paraId="313DC498">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2023年5月的人民日报评论：是什么影响了共享单车的用户体验？</w:t>
            </w:r>
          </w:p>
          <w:p w14:paraId="13300309">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2023年9月的人民日报上海新闻：共享单车成为暑期来沪游客出行新选择</w:t>
            </w:r>
          </w:p>
          <w:p w14:paraId="44FCF562">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2022年9月的中国城市规划发表了：</w:t>
            </w:r>
            <w:r>
              <w:rPr>
                <w:rFonts w:ascii="微软雅黑" w:hAnsi="微软雅黑"/>
                <w:szCs w:val="21"/>
                <w:shd w:val="clear" w:color="auto" w:fill="FFFFFF"/>
              </w:rPr>
              <w:t xml:space="preserve">热点解读 |《2022年度中国主要城市共享单车/电单车骑行报告》 </w:t>
            </w:r>
          </w:p>
          <w:p w14:paraId="093B6C90">
            <w:p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以</w:t>
            </w:r>
            <w:r>
              <w:rPr>
                <w:rFonts w:hint="eastAsia" w:ascii="微软雅黑" w:hAnsi="微软雅黑"/>
                <w:szCs w:val="21"/>
                <w:shd w:val="clear" w:color="auto" w:fill="FFFFFF"/>
              </w:rPr>
              <w:t>“共享单车”、“习惯”为关键词，从中国知网文库中检索2</w:t>
            </w:r>
            <w:r>
              <w:rPr>
                <w:rFonts w:ascii="微软雅黑" w:hAnsi="微软雅黑"/>
                <w:szCs w:val="21"/>
                <w:shd w:val="clear" w:color="auto" w:fill="FFFFFF"/>
              </w:rPr>
              <w:t>020年</w:t>
            </w:r>
            <w:r>
              <w:rPr>
                <w:rFonts w:hint="eastAsia" w:ascii="微软雅黑" w:hAnsi="微软雅黑"/>
                <w:szCs w:val="21"/>
                <w:shd w:val="clear" w:color="auto" w:fill="FFFFFF"/>
              </w:rPr>
              <w:t>1月1日至2</w:t>
            </w:r>
            <w:r>
              <w:rPr>
                <w:rFonts w:ascii="微软雅黑" w:hAnsi="微软雅黑"/>
                <w:szCs w:val="21"/>
                <w:shd w:val="clear" w:color="auto" w:fill="FFFFFF"/>
              </w:rPr>
              <w:t>022年</w:t>
            </w:r>
            <w:r>
              <w:rPr>
                <w:rFonts w:hint="eastAsia" w:ascii="微软雅黑" w:hAnsi="微软雅黑"/>
                <w:szCs w:val="21"/>
                <w:shd w:val="clear" w:color="auto" w:fill="FFFFFF"/>
              </w:rPr>
              <w:t>1</w:t>
            </w:r>
            <w:r>
              <w:rPr>
                <w:rFonts w:ascii="微软雅黑" w:hAnsi="微软雅黑"/>
                <w:szCs w:val="21"/>
                <w:shd w:val="clear" w:color="auto" w:fill="FFFFFF"/>
              </w:rPr>
              <w:t>1月</w:t>
            </w:r>
            <w:r>
              <w:rPr>
                <w:rFonts w:hint="eastAsia" w:ascii="微软雅黑" w:hAnsi="微软雅黑"/>
                <w:szCs w:val="21"/>
                <w:shd w:val="clear" w:color="auto" w:fill="FFFFFF"/>
              </w:rPr>
              <w:t>1日的文献，检索结果表明，相关文献共计10</w:t>
            </w:r>
            <w:r>
              <w:rPr>
                <w:rFonts w:ascii="微软雅黑" w:hAnsi="微软雅黑"/>
                <w:szCs w:val="21"/>
                <w:shd w:val="clear" w:color="auto" w:fill="FFFFFF"/>
              </w:rPr>
              <w:t>8</w:t>
            </w:r>
            <w:r>
              <w:rPr>
                <w:rFonts w:hint="eastAsia" w:ascii="微软雅黑" w:hAnsi="微软雅黑"/>
                <w:szCs w:val="21"/>
                <w:shd w:val="clear" w:color="auto" w:fill="FFFFFF"/>
              </w:rPr>
              <w:t>篇，文件主题关键词主要集中于“共享单车”、“发展”、“需求”、“习惯”、“轨迹”，占比约4</w:t>
            </w:r>
            <w:r>
              <w:rPr>
                <w:rFonts w:ascii="微软雅黑" w:hAnsi="微软雅黑"/>
                <w:szCs w:val="21"/>
                <w:shd w:val="clear" w:color="auto" w:fill="FFFFFF"/>
              </w:rPr>
              <w:t>8</w:t>
            </w:r>
            <w:r>
              <w:rPr>
                <w:rFonts w:hint="eastAsia" w:ascii="微软雅黑" w:hAnsi="微软雅黑"/>
                <w:szCs w:val="21"/>
                <w:shd w:val="clear" w:color="auto" w:fill="FFFFFF"/>
              </w:rPr>
              <w:t>%。根据检索内容，从共享单车需求预测、共享单车出行研究、共享单车轨迹分析等三个方面进行归纳阐述。</w:t>
            </w:r>
          </w:p>
          <w:p w14:paraId="2DA8B8F0">
            <w:pPr>
              <w:spacing w:line="360" w:lineRule="auto"/>
              <w:ind w:firstLine="480" w:firstLineChars="200"/>
              <w:jc w:val="left"/>
              <w:rPr>
                <w:szCs w:val="28"/>
              </w:rPr>
            </w:pPr>
          </w:p>
        </w:tc>
      </w:tr>
      <w:tr w14:paraId="212B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7ACB646B">
            <w:pPr>
              <w:spacing w:beforeLines="50" w:line="360" w:lineRule="auto"/>
              <w:rPr>
                <w:rFonts w:ascii="仿宋_GB2312" w:eastAsia="黑体"/>
                <w:bCs/>
              </w:rPr>
            </w:pPr>
            <w:r>
              <w:rPr>
                <w:rFonts w:ascii="黑体" w:eastAsia="黑体"/>
                <w:b/>
                <w:sz w:val="30"/>
                <w:szCs w:val="30"/>
              </w:rPr>
              <w:t>三</w:t>
            </w:r>
            <w:r>
              <w:rPr>
                <w:rFonts w:hint="eastAsia" w:ascii="黑体" w:eastAsia="黑体"/>
                <w:b/>
                <w:sz w:val="30"/>
                <w:szCs w:val="30"/>
              </w:rPr>
              <w:t>、</w:t>
            </w:r>
            <w:r>
              <w:rPr>
                <w:rFonts w:ascii="黑体" w:eastAsia="黑体"/>
                <w:b/>
                <w:sz w:val="30"/>
                <w:szCs w:val="30"/>
              </w:rPr>
              <w:t>研究目标与研究内容</w:t>
            </w:r>
          </w:p>
        </w:tc>
      </w:tr>
      <w:tr w14:paraId="45C6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tcPr>
          <w:p w14:paraId="1735A84E">
            <w:pPr>
              <w:snapToGrid w:val="0"/>
              <w:spacing w:line="360" w:lineRule="auto"/>
              <w:ind w:firstLine="480" w:firstLineChars="200"/>
              <w:rPr>
                <w:rFonts w:ascii="微软雅黑" w:hAnsi="微软雅黑"/>
                <w:szCs w:val="21"/>
                <w:shd w:val="clear" w:color="auto" w:fill="FFFFFF"/>
              </w:rPr>
            </w:pPr>
          </w:p>
          <w:p w14:paraId="561B7778">
            <w:p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本次研究从</w:t>
            </w:r>
            <w:r>
              <w:rPr>
                <w:rFonts w:hint="eastAsia" w:ascii="微软雅黑" w:hAnsi="微软雅黑"/>
                <w:szCs w:val="21"/>
                <w:shd w:val="clear" w:color="auto" w:fill="FFFFFF"/>
              </w:rPr>
              <w:t>上海某共享单车数据集中的用户、时间点、骑行轨迹、骑行距离等</w:t>
            </w:r>
            <w:r>
              <w:rPr>
                <w:rFonts w:ascii="微软雅黑" w:hAnsi="微软雅黑"/>
                <w:szCs w:val="21"/>
                <w:shd w:val="clear" w:color="auto" w:fill="FFFFFF"/>
              </w:rPr>
              <w:t>类别的变化角度入手</w:t>
            </w:r>
            <w:r>
              <w:rPr>
                <w:rFonts w:hint="eastAsia" w:ascii="微软雅黑" w:hAnsi="微软雅黑"/>
                <w:szCs w:val="21"/>
                <w:shd w:val="clear" w:color="auto" w:fill="FFFFFF"/>
              </w:rPr>
              <w:t>，</w:t>
            </w:r>
            <w:r>
              <w:rPr>
                <w:rFonts w:ascii="微软雅黑" w:hAnsi="微软雅黑"/>
                <w:szCs w:val="21"/>
                <w:shd w:val="clear" w:color="auto" w:fill="FFFFFF"/>
              </w:rPr>
              <w:t>分析</w:t>
            </w:r>
            <w:r>
              <w:rPr>
                <w:rFonts w:hint="eastAsia" w:ascii="微软雅黑" w:hAnsi="微软雅黑"/>
                <w:szCs w:val="21"/>
                <w:shd w:val="clear" w:color="auto" w:fill="FFFFFF"/>
              </w:rPr>
              <w:t>用户使用共享单车的习惯及</w:t>
            </w:r>
            <w:r>
              <w:rPr>
                <w:rFonts w:ascii="微软雅黑" w:hAnsi="微软雅黑"/>
                <w:szCs w:val="21"/>
                <w:shd w:val="clear" w:color="auto" w:fill="FFFFFF"/>
              </w:rPr>
              <w:t>规律</w:t>
            </w:r>
            <w:r>
              <w:rPr>
                <w:rFonts w:hint="eastAsia" w:ascii="微软雅黑" w:hAnsi="微软雅黑"/>
                <w:szCs w:val="21"/>
                <w:shd w:val="clear" w:color="auto" w:fill="FFFFFF"/>
              </w:rPr>
              <w:t>，结合时间、路线、轨迹的变化等因素对此数据变化给出合理解释。</w:t>
            </w:r>
            <w:r>
              <w:rPr>
                <w:rFonts w:ascii="微软雅黑" w:hAnsi="微软雅黑"/>
                <w:szCs w:val="21"/>
                <w:shd w:val="clear" w:color="auto" w:fill="FFFFFF"/>
              </w:rPr>
              <w:t>同时结合</w:t>
            </w:r>
            <w:r>
              <w:rPr>
                <w:rFonts w:hint="eastAsia" w:ascii="微软雅黑" w:hAnsi="微软雅黑"/>
                <w:szCs w:val="21"/>
                <w:shd w:val="clear" w:color="auto" w:fill="FFFFFF"/>
              </w:rPr>
              <w:t>订单号、车辆ID、用户ID、骑行起始日期时间、起始位置x、起始位置y、骑行结束日期时间、结束位置X、结束位置y、骑行踪迹、骑行起始年月日、骑行距离等字段，分析各字段之间的变化，挖掘出数据间隐藏的关系，为数据预测建立模型。</w:t>
            </w:r>
          </w:p>
          <w:p w14:paraId="4755D4E9">
            <w:pPr>
              <w:numPr>
                <w:ilvl w:val="0"/>
                <w:numId w:val="1"/>
              </w:num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根据</w:t>
            </w:r>
            <w:r>
              <w:rPr>
                <w:rFonts w:ascii="微软雅黑" w:hAnsi="微软雅黑"/>
                <w:szCs w:val="21"/>
                <w:shd w:val="clear" w:color="auto" w:fill="FFFFFF"/>
              </w:rPr>
              <w:t>用户使用共享单车的时间习惯。共享单车使用时间的分布规律对于共享单车企业的运营管理具有重要参考价值。比如可以根据不同时间段的使用情况来调整车辆的投放和回收、提高共享单车的利用率和满意度。</w:t>
            </w:r>
          </w:p>
          <w:p w14:paraId="00AFD6D3">
            <w:pPr>
              <w:numPr>
                <w:ilvl w:val="0"/>
                <w:numId w:val="1"/>
              </w:num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根据</w:t>
            </w:r>
            <w:r>
              <w:rPr>
                <w:rFonts w:ascii="微软雅黑" w:hAnsi="微软雅黑"/>
                <w:szCs w:val="21"/>
                <w:shd w:val="clear" w:color="auto" w:fill="FFFFFF"/>
              </w:rPr>
              <w:t>用户使用共享单车的距离习惯。共享单车的出行距离与用户使用习惯密切相关。通过对共享单车行驶路程和距离的数据进行分析，可以掌握用户的出行需求和习惯，为共享单车企业提供更加针对性的服务。</w:t>
            </w:r>
          </w:p>
          <w:p w14:paraId="680619FE">
            <w:pPr>
              <w:numPr>
                <w:ilvl w:val="0"/>
                <w:numId w:val="1"/>
              </w:num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根据</w:t>
            </w:r>
            <w:r>
              <w:rPr>
                <w:rFonts w:ascii="微软雅黑" w:hAnsi="微软雅黑"/>
                <w:szCs w:val="21"/>
                <w:shd w:val="clear" w:color="auto" w:fill="FFFFFF"/>
              </w:rPr>
              <w:t>用户使用共享单车的线路偏好。对于不同的用户，共享单车的使用线路和场景也不相同。通过分析不同地区和用户的共享单车使用情况，可以为企业提供更好更贴近用户需求的服务。</w:t>
            </w:r>
          </w:p>
          <w:p w14:paraId="4BFA54E9">
            <w:pPr>
              <w:numPr>
                <w:ilvl w:val="0"/>
                <w:numId w:val="1"/>
              </w:numPr>
              <w:snapToGrid w:val="0"/>
              <w:spacing w:line="360" w:lineRule="auto"/>
              <w:ind w:firstLine="480" w:firstLineChars="200"/>
              <w:rPr>
                <w:szCs w:val="28"/>
              </w:rPr>
            </w:pPr>
            <w:r>
              <w:rPr>
                <w:rFonts w:hint="eastAsia" w:ascii="微软雅黑" w:hAnsi="微软雅黑"/>
                <w:szCs w:val="21"/>
                <w:shd w:val="clear" w:color="auto" w:fill="FFFFFF"/>
              </w:rPr>
              <w:t>根据</w:t>
            </w:r>
            <w:r>
              <w:rPr>
                <w:rFonts w:ascii="微软雅黑" w:hAnsi="微软雅黑"/>
                <w:szCs w:val="21"/>
                <w:shd w:val="clear" w:color="auto" w:fill="FFFFFF"/>
              </w:rPr>
              <w:t>用户共享单车的使用频率。通过对不同用户的使用频率和次数的数据进行分析，可以了解用户对共享单车的使用情况和出行需求，进一步提高共享单车的服务质量和用户满意度。</w:t>
            </w:r>
          </w:p>
        </w:tc>
      </w:tr>
      <w:tr w14:paraId="2B71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000" w:type="pct"/>
            <w:tcBorders>
              <w:top w:val="nil"/>
              <w:left w:val="nil"/>
              <w:right w:val="nil"/>
            </w:tcBorders>
          </w:tcPr>
          <w:p w14:paraId="4AC5F903">
            <w:pPr>
              <w:spacing w:beforeLines="50" w:line="360" w:lineRule="auto"/>
              <w:jc w:val="left"/>
              <w:rPr>
                <w:rFonts w:ascii="仿宋_GB2312" w:eastAsia="黑体"/>
                <w:bCs/>
              </w:rPr>
            </w:pPr>
            <w:r>
              <w:rPr>
                <w:rFonts w:ascii="黑体" w:eastAsia="黑体"/>
                <w:b/>
                <w:sz w:val="30"/>
                <w:szCs w:val="30"/>
              </w:rPr>
              <w:t>四、研究思路与方法</w:t>
            </w:r>
          </w:p>
        </w:tc>
      </w:tr>
      <w:tr w14:paraId="6A82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6" w:hRule="atLeast"/>
        </w:trPr>
        <w:tc>
          <w:tcPr>
            <w:tcW w:w="5000" w:type="pct"/>
          </w:tcPr>
          <w:p w14:paraId="1F9EE8E4">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1</w:t>
            </w:r>
            <w:r>
              <w:rPr>
                <w:rFonts w:ascii="微软雅黑" w:hAnsi="微软雅黑"/>
                <w:szCs w:val="21"/>
                <w:shd w:val="clear" w:color="auto" w:fill="FFFFFF"/>
              </w:rPr>
              <w:t xml:space="preserve">. </w:t>
            </w:r>
            <w:r>
              <w:rPr>
                <w:rFonts w:hint="eastAsia" w:ascii="微软雅黑" w:hAnsi="微软雅黑"/>
                <w:szCs w:val="21"/>
                <w:shd w:val="clear" w:color="auto" w:fill="FFFFFF"/>
              </w:rPr>
              <w:t>数据预处理</w:t>
            </w:r>
          </w:p>
          <w:p w14:paraId="09434CA0">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在对数据进行分析之前，要对数据进行预处理，避免因数据冗余、数据缺失、数据偏差等因素造成结果出现偏差，确保数据的准确性和有效性。进行数据分析师，首先整理数据，剔除偏差较大的数据；其次将数据进行二次处理，删除无意义数字，提取所需的时间、距离、线路等数据，对数据进行分类。</w:t>
            </w:r>
          </w:p>
          <w:p w14:paraId="03997F50">
            <w:pPr>
              <w:numPr>
                <w:ilvl w:val="0"/>
                <w:numId w:val="2"/>
              </w:num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数据分析</w:t>
            </w:r>
          </w:p>
          <w:p w14:paraId="6377064F">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基本特征分析：对数据进行基本的统计分析，如共享单车的总量、平均分布等。</w:t>
            </w:r>
          </w:p>
          <w:p w14:paraId="70EE54A7">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时间特征分析：从日期、星期、小时等多个方面对共享单车的使用情况进行分析，分析用户在不同时间段的出行需求和习惯。</w:t>
            </w:r>
          </w:p>
          <w:p w14:paraId="7A691319">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距离特征分析：通过对共享单车的轨迹数据进行分析，研究用户在不同距离下的出行情况和习惯。</w:t>
            </w:r>
          </w:p>
          <w:p w14:paraId="5C6C2387">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线路特征分析：通过对用户出行轨迹的分析，了解用户在不同场景和地点的出行偏好。</w:t>
            </w:r>
          </w:p>
          <w:p w14:paraId="062A6C52">
            <w:pPr>
              <w:numPr>
                <w:ilvl w:val="0"/>
                <w:numId w:val="3"/>
              </w:numPr>
              <w:snapToGrid w:val="0"/>
              <w:spacing w:line="360" w:lineRule="auto"/>
              <w:ind w:firstLine="480" w:firstLineChars="200"/>
              <w:rPr>
                <w:rFonts w:ascii="微软雅黑" w:hAnsi="微软雅黑"/>
                <w:szCs w:val="21"/>
                <w:shd w:val="clear" w:color="auto" w:fill="FFFFFF"/>
              </w:rPr>
            </w:pPr>
            <w:r>
              <w:rPr>
                <w:rFonts w:ascii="微软雅黑" w:hAnsi="微软雅黑"/>
                <w:szCs w:val="21"/>
                <w:shd w:val="clear" w:color="auto" w:fill="FFFFFF"/>
              </w:rPr>
              <w:t>使用频率特征分析：对不同用户的使用频率进行分析，研究用户的出行需求和偏好</w:t>
            </w:r>
            <w:r>
              <w:rPr>
                <w:rFonts w:hint="eastAsia" w:ascii="微软雅黑" w:hAnsi="微软雅黑"/>
                <w:szCs w:val="21"/>
                <w:shd w:val="clear" w:color="auto" w:fill="FFFFFF"/>
              </w:rPr>
              <w:t>。</w:t>
            </w:r>
          </w:p>
          <w:p w14:paraId="509BDB8D">
            <w:pPr>
              <w:numPr>
                <w:ilvl w:val="0"/>
                <w:numId w:val="2"/>
              </w:num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数据分析方法</w:t>
            </w:r>
          </w:p>
          <w:p w14:paraId="245CCA6B">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1）数据聚类和可视化。分别按照年份、季节、月份、星期、时间对用户使用数量进行统计汇总，将数据细分为不同的数据集合，利用可视化技术将各细分数据集展现出来，直观的展现出用户使用共享单车的规律。分别使用k</w:t>
            </w:r>
            <w:r>
              <w:rPr>
                <w:rFonts w:ascii="微软雅黑" w:hAnsi="微软雅黑"/>
                <w:szCs w:val="21"/>
                <w:shd w:val="clear" w:color="auto" w:fill="FFFFFF"/>
              </w:rPr>
              <w:t>means</w:t>
            </w:r>
            <w:r>
              <w:rPr>
                <w:rFonts w:hint="eastAsia" w:ascii="微软雅黑" w:hAnsi="微软雅黑"/>
                <w:szCs w:val="21"/>
                <w:shd w:val="clear" w:color="auto" w:fill="FFFFFF"/>
              </w:rPr>
              <w:t>、高斯混合模型进行数据聚类，探究不同人们在不同日期使用共享单车的习惯。</w:t>
            </w:r>
          </w:p>
          <w:p w14:paraId="5FDD1FEC">
            <w:pPr>
              <w:snapToGrid w:val="0"/>
              <w:spacing w:line="360" w:lineRule="auto"/>
              <w:ind w:firstLine="480" w:firstLineChars="200"/>
              <w:rPr>
                <w:rFonts w:ascii="微软雅黑" w:hAnsi="微软雅黑"/>
                <w:szCs w:val="21"/>
                <w:shd w:val="clear" w:color="auto" w:fill="FFFFFF"/>
              </w:rPr>
            </w:pPr>
            <w:r>
              <w:rPr>
                <w:rFonts w:hint="eastAsia" w:ascii="微软雅黑" w:hAnsi="微软雅黑"/>
                <w:szCs w:val="21"/>
                <w:shd w:val="clear" w:color="auto" w:fill="FFFFFF"/>
              </w:rPr>
              <w:t>（2）数据关联规则分析。分析不同季节、节假日、工作日、上下班高峰时间等数据特征之间的相互依存性和关联性，主要包括支持度、置信度、提升度等。</w:t>
            </w:r>
          </w:p>
          <w:p w14:paraId="701ED6F3">
            <w:pPr>
              <w:spacing w:line="360" w:lineRule="auto"/>
              <w:jc w:val="left"/>
              <w:rPr>
                <w:rFonts w:ascii="宋体" w:hAnsi="宋体" w:eastAsia="宋体"/>
                <w:sz w:val="28"/>
                <w:szCs w:val="28"/>
              </w:rPr>
            </w:pPr>
          </w:p>
        </w:tc>
      </w:tr>
      <w:tr w14:paraId="7C99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tcBorders>
              <w:top w:val="nil"/>
              <w:left w:val="nil"/>
              <w:right w:val="nil"/>
            </w:tcBorders>
          </w:tcPr>
          <w:p w14:paraId="240B9378">
            <w:pPr>
              <w:spacing w:beforeLines="50" w:line="360" w:lineRule="auto"/>
              <w:rPr>
                <w:rFonts w:ascii="宋体" w:hAnsi="宋体"/>
              </w:rPr>
            </w:pPr>
            <w:r>
              <w:rPr>
                <w:rFonts w:hint="eastAsia" w:ascii="黑体" w:eastAsia="黑体"/>
                <w:b/>
                <w:sz w:val="30"/>
                <w:szCs w:val="30"/>
              </w:rPr>
              <w:t>五</w:t>
            </w:r>
            <w:r>
              <w:rPr>
                <w:rFonts w:ascii="黑体" w:eastAsia="黑体"/>
                <w:b/>
                <w:sz w:val="30"/>
                <w:szCs w:val="30"/>
              </w:rPr>
              <w:t>、预期研究成果</w:t>
            </w:r>
          </w:p>
        </w:tc>
      </w:tr>
      <w:tr w14:paraId="3C14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0" w:hRule="atLeast"/>
        </w:trPr>
        <w:tc>
          <w:tcPr>
            <w:tcW w:w="5000" w:type="pct"/>
            <w:tcBorders>
              <w:bottom w:val="single" w:color="auto" w:sz="4" w:space="0"/>
            </w:tcBorders>
          </w:tcPr>
          <w:p w14:paraId="48BD9218">
            <w:pPr>
              <w:spacing w:line="360" w:lineRule="auto"/>
              <w:rPr>
                <w:rFonts w:ascii="宋体" w:hAnsi="宋体"/>
              </w:rPr>
            </w:pPr>
          </w:p>
          <w:p w14:paraId="3A94F8CB">
            <w:pPr>
              <w:numPr>
                <w:ilvl w:val="0"/>
                <w:numId w:val="4"/>
              </w:numPr>
              <w:spacing w:line="360" w:lineRule="auto"/>
              <w:rPr>
                <w:rFonts w:ascii="宋体" w:hAnsi="宋体"/>
              </w:rPr>
            </w:pPr>
            <w:r>
              <w:rPr>
                <w:rFonts w:hint="eastAsia" w:ascii="宋体" w:hAnsi="宋体"/>
              </w:rPr>
              <w:t>共享单车使用情况可视化。</w:t>
            </w:r>
          </w:p>
          <w:p w14:paraId="0D535DBC">
            <w:pPr>
              <w:spacing w:line="360" w:lineRule="auto"/>
              <w:ind w:firstLine="480" w:firstLineChars="200"/>
              <w:rPr>
                <w:rFonts w:ascii="宋体" w:hAnsi="宋体"/>
              </w:rPr>
            </w:pPr>
            <w:r>
              <w:rPr>
                <w:rFonts w:hint="eastAsia" w:ascii="宋体" w:hAnsi="宋体"/>
              </w:rPr>
              <w:t>根据用户骑行轨迹，结合上海市地图，分析不同道路上共享单车使用频率，绘制共享单车使用频率热力图。结合道路周边环境，分析用户选择共享单车骑行路线策略。</w:t>
            </w:r>
          </w:p>
          <w:p w14:paraId="3A3005E3">
            <w:pPr>
              <w:numPr>
                <w:ilvl w:val="0"/>
                <w:numId w:val="4"/>
              </w:numPr>
              <w:spacing w:line="360" w:lineRule="auto"/>
              <w:rPr>
                <w:rFonts w:ascii="宋体" w:hAnsi="宋体"/>
              </w:rPr>
            </w:pPr>
            <w:r>
              <w:rPr>
                <w:rFonts w:hint="eastAsia" w:ascii="宋体" w:hAnsi="宋体"/>
              </w:rPr>
              <w:t>共享单车用户骑行距离可视化。</w:t>
            </w:r>
          </w:p>
          <w:p w14:paraId="45B7CF71">
            <w:pPr>
              <w:spacing w:line="360" w:lineRule="auto"/>
              <w:ind w:firstLine="480" w:firstLineChars="200"/>
              <w:rPr>
                <w:rFonts w:ascii="宋体" w:hAnsi="宋体"/>
              </w:rPr>
            </w:pPr>
            <w:r>
              <w:rPr>
                <w:rFonts w:hint="eastAsia" w:ascii="宋体" w:hAnsi="宋体"/>
              </w:rPr>
              <w:t>根据不同时间点内的骑行距离进行数据分析，分析不同时间点的骑行距离，绘制可视化数据图形。结合共享单车用户的使用习惯和行为特征，为共享单车企业提供更加精准的服务和推广策略。</w:t>
            </w:r>
          </w:p>
          <w:p w14:paraId="3173D5EA">
            <w:pPr>
              <w:numPr>
                <w:ilvl w:val="0"/>
                <w:numId w:val="4"/>
              </w:numPr>
              <w:spacing w:line="360" w:lineRule="auto"/>
              <w:rPr>
                <w:rFonts w:ascii="宋体" w:hAnsi="宋体"/>
              </w:rPr>
            </w:pPr>
            <w:r>
              <w:rPr>
                <w:rFonts w:hint="eastAsia" w:ascii="宋体" w:hAnsi="宋体"/>
              </w:rPr>
              <w:t>共享单车用户骑行时间和轨迹分析可视化</w:t>
            </w:r>
          </w:p>
          <w:p w14:paraId="48F1576A">
            <w:pPr>
              <w:spacing w:line="360" w:lineRule="auto"/>
              <w:ind w:firstLine="480" w:firstLineChars="200"/>
              <w:rPr>
                <w:rFonts w:ascii="宋体" w:hAnsi="宋体"/>
              </w:rPr>
            </w:pPr>
            <w:r>
              <w:rPr>
                <w:rFonts w:hint="eastAsia" w:ascii="宋体" w:hAnsi="宋体"/>
              </w:rPr>
              <w:t>根据不同时间点内的骑行轨迹进行数据分析，分析不同时间点的骑行轨迹，分析用户选择的原因及意义，绘制可视化数据图形。结合共享单车用户的使用习惯和行为特征，为共享单车企业提供共享单车调度方面的数据支持。</w:t>
            </w:r>
          </w:p>
          <w:p w14:paraId="0A34FE7C">
            <w:pPr>
              <w:spacing w:line="360" w:lineRule="auto"/>
              <w:ind w:firstLine="480" w:firstLineChars="200"/>
              <w:rPr>
                <w:rFonts w:ascii="宋体" w:hAnsi="宋体"/>
              </w:rPr>
            </w:pPr>
            <w:r>
              <w:rPr>
                <w:rFonts w:hint="eastAsia" w:ascii="宋体" w:hAnsi="宋体"/>
              </w:rPr>
              <w:t>以上三方面将是此课题的预想研究结果，希望可以为城市交通规划和交通管理提供有价值的数据和参考意见，进一步促进城市公共交通出行的便捷化和可持续发展。并为共享单车服务商提供用户需求分析和优化人性化的服务，推进绿色出行理念的普及和环保意识的提升。总之，本研究将从数据层面出发，探究共享单车使用数据中蕴含的有价值信息。相信通过本研究，可以为城市交通管理和社会发展做出一定的贡献。</w:t>
            </w:r>
          </w:p>
          <w:p w14:paraId="6E6E4896">
            <w:pPr>
              <w:spacing w:line="360" w:lineRule="auto"/>
              <w:ind w:firstLine="480" w:firstLineChars="200"/>
              <w:rPr>
                <w:rFonts w:ascii="宋体" w:hAnsi="宋体"/>
              </w:rPr>
            </w:pPr>
          </w:p>
        </w:tc>
      </w:tr>
    </w:tbl>
    <w:p w14:paraId="328C6752">
      <w:pPr>
        <w:widowControl/>
        <w:jc w:val="left"/>
        <w:rPr>
          <w:rFonts w:ascii="Times New Roman" w:hAnsi="Times New Roman" w:cs="Times New Roman"/>
          <w:sz w:val="28"/>
        </w:rPr>
      </w:pPr>
    </w:p>
    <w:sectPr>
      <w:footerReference r:id="rId5" w:type="default"/>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Neue">
    <w:altName w:val="Segoe UI"/>
    <w:panose1 w:val="00000000000000000000"/>
    <w:charset w:val="00"/>
    <w:family w:val="auto"/>
    <w:pitch w:val="default"/>
    <w:sig w:usb0="00000000" w:usb1="00000000" w:usb2="00000010" w:usb3="00000000" w:csb0="00000000" w:csb1="0000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CE7DF">
    <w:pPr>
      <w:pStyle w:val="5"/>
      <w:framePr w:wrap="around" w:vAnchor="text" w:hAnchor="margin" w:xAlign="center" w:y="1"/>
      <w:rPr>
        <w:rStyle w:val="11"/>
      </w:rPr>
    </w:pPr>
  </w:p>
  <w:p w14:paraId="0944EF1E">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2FCBF">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3AB4481B">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F8959">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14:paraId="464462E2">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D22ED"/>
    <w:multiLevelType w:val="singleLevel"/>
    <w:tmpl w:val="DC7D22ED"/>
    <w:lvl w:ilvl="0" w:tentative="0">
      <w:start w:val="1"/>
      <w:numFmt w:val="decimal"/>
      <w:suff w:val="space"/>
      <w:lvlText w:val="%1."/>
      <w:lvlJc w:val="left"/>
    </w:lvl>
  </w:abstractNum>
  <w:abstractNum w:abstractNumId="1">
    <w:nsid w:val="1BF162B5"/>
    <w:multiLevelType w:val="singleLevel"/>
    <w:tmpl w:val="1BF162B5"/>
    <w:lvl w:ilvl="0" w:tentative="0">
      <w:start w:val="2"/>
      <w:numFmt w:val="decimal"/>
      <w:suff w:val="space"/>
      <w:lvlText w:val="%1."/>
      <w:lvlJc w:val="left"/>
    </w:lvl>
  </w:abstractNum>
  <w:abstractNum w:abstractNumId="2">
    <w:nsid w:val="29221ECF"/>
    <w:multiLevelType w:val="singleLevel"/>
    <w:tmpl w:val="29221ECF"/>
    <w:lvl w:ilvl="0" w:tentative="0">
      <w:start w:val="1"/>
      <w:numFmt w:val="decimal"/>
      <w:suff w:val="nothing"/>
      <w:lvlText w:val="（%1）"/>
      <w:lvlJc w:val="left"/>
    </w:lvl>
  </w:abstractNum>
  <w:abstractNum w:abstractNumId="3">
    <w:nsid w:val="543D324F"/>
    <w:multiLevelType w:val="singleLevel"/>
    <w:tmpl w:val="543D324F"/>
    <w:lvl w:ilvl="0" w:tentative="0">
      <w:start w:val="1"/>
      <w:numFmt w:val="decimal"/>
      <w:suff w:val="space"/>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200"/>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xZGQ1MDA4MmRiOWYyYWVlZTliYTMwOWU3OGI5MWMifQ=="/>
  </w:docVars>
  <w:rsids>
    <w:rsidRoot w:val="0077740B"/>
    <w:rsid w:val="0001195C"/>
    <w:rsid w:val="000247CA"/>
    <w:rsid w:val="000504C6"/>
    <w:rsid w:val="00066CBB"/>
    <w:rsid w:val="000A0634"/>
    <w:rsid w:val="000D24EF"/>
    <w:rsid w:val="000D68E6"/>
    <w:rsid w:val="00107602"/>
    <w:rsid w:val="00166677"/>
    <w:rsid w:val="0017082E"/>
    <w:rsid w:val="001A48AE"/>
    <w:rsid w:val="001E402C"/>
    <w:rsid w:val="00240423"/>
    <w:rsid w:val="002A6367"/>
    <w:rsid w:val="003C5CE7"/>
    <w:rsid w:val="0042342C"/>
    <w:rsid w:val="00455BA0"/>
    <w:rsid w:val="00460C4B"/>
    <w:rsid w:val="00460E28"/>
    <w:rsid w:val="0048778E"/>
    <w:rsid w:val="00490C86"/>
    <w:rsid w:val="004D3550"/>
    <w:rsid w:val="00527D70"/>
    <w:rsid w:val="005540F2"/>
    <w:rsid w:val="005B4B6D"/>
    <w:rsid w:val="006861FD"/>
    <w:rsid w:val="006A1019"/>
    <w:rsid w:val="006E0E95"/>
    <w:rsid w:val="006F5E97"/>
    <w:rsid w:val="00767DC8"/>
    <w:rsid w:val="0077740B"/>
    <w:rsid w:val="007820E7"/>
    <w:rsid w:val="007A059D"/>
    <w:rsid w:val="007A2B77"/>
    <w:rsid w:val="007B67D1"/>
    <w:rsid w:val="007F00B2"/>
    <w:rsid w:val="007F4950"/>
    <w:rsid w:val="00803A47"/>
    <w:rsid w:val="00876EAE"/>
    <w:rsid w:val="00886E6B"/>
    <w:rsid w:val="008A0901"/>
    <w:rsid w:val="008C3F84"/>
    <w:rsid w:val="00984677"/>
    <w:rsid w:val="009B1E90"/>
    <w:rsid w:val="009E0C05"/>
    <w:rsid w:val="009E52ED"/>
    <w:rsid w:val="00A427F2"/>
    <w:rsid w:val="00A87E53"/>
    <w:rsid w:val="00AC5AA2"/>
    <w:rsid w:val="00B2309A"/>
    <w:rsid w:val="00B41548"/>
    <w:rsid w:val="00B469C9"/>
    <w:rsid w:val="00B70FCC"/>
    <w:rsid w:val="00BC6C0D"/>
    <w:rsid w:val="00BF5693"/>
    <w:rsid w:val="00C44D65"/>
    <w:rsid w:val="00C53AB1"/>
    <w:rsid w:val="00C73CB7"/>
    <w:rsid w:val="00C9641B"/>
    <w:rsid w:val="00CB65C5"/>
    <w:rsid w:val="00CC1104"/>
    <w:rsid w:val="00CE19BA"/>
    <w:rsid w:val="00CF058C"/>
    <w:rsid w:val="00D076A8"/>
    <w:rsid w:val="00D1290F"/>
    <w:rsid w:val="00D20F9B"/>
    <w:rsid w:val="00D756E3"/>
    <w:rsid w:val="00E210B9"/>
    <w:rsid w:val="00E3195F"/>
    <w:rsid w:val="00E66A81"/>
    <w:rsid w:val="00E83C76"/>
    <w:rsid w:val="00E96964"/>
    <w:rsid w:val="00FC0C97"/>
    <w:rsid w:val="00FC3CFF"/>
    <w:rsid w:val="00FD230E"/>
    <w:rsid w:val="00FE0631"/>
    <w:rsid w:val="00FF1DF4"/>
    <w:rsid w:val="0FFD3E35"/>
    <w:rsid w:val="1F345A46"/>
    <w:rsid w:val="2318468D"/>
    <w:rsid w:val="2BE813B8"/>
    <w:rsid w:val="2C923702"/>
    <w:rsid w:val="44560556"/>
    <w:rsid w:val="481C455D"/>
    <w:rsid w:val="59635CBB"/>
    <w:rsid w:val="602C1C50"/>
    <w:rsid w:val="6736645D"/>
    <w:rsid w:val="67FFD68A"/>
    <w:rsid w:val="6D6B88A8"/>
    <w:rsid w:val="7C9F70A9"/>
    <w:rsid w:val="B7FE958E"/>
    <w:rsid w:val="D37F53A6"/>
    <w:rsid w:val="D9C78C00"/>
    <w:rsid w:val="DBFFEEC9"/>
    <w:rsid w:val="F5EEFE45"/>
    <w:rsid w:val="F9EBB6BB"/>
    <w:rsid w:val="FBFEBB58"/>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3"/>
    <w:basedOn w:val="1"/>
    <w:next w:val="1"/>
    <w:unhideWhenUsed/>
    <w:qFormat/>
    <w:uiPriority w:val="9"/>
    <w:pPr>
      <w:keepNext/>
      <w:spacing w:beforeLines="100" w:line="240" w:lineRule="atLeast"/>
      <w:jc w:val="center"/>
      <w:outlineLvl w:val="2"/>
    </w:pPr>
    <w:rPr>
      <w:rFonts w:ascii="楷体_GB2312" w:eastAsia="楷体_GB2312"/>
      <w:b/>
      <w:bCs/>
      <w:sz w:val="32"/>
      <w:szCs w:val="20"/>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1"/>
    <w:pPr>
      <w:ind w:left="538"/>
      <w:jc w:val="left"/>
    </w:pPr>
    <w:rPr>
      <w:rFonts w:ascii="仿宋" w:hAnsi="仿宋" w:eastAsia="仿宋"/>
      <w:kern w:val="0"/>
      <w:sz w:val="21"/>
      <w:szCs w:val="21"/>
      <w:lang w:eastAsia="en-US"/>
    </w:rPr>
  </w:style>
  <w:style w:type="paragraph" w:styleId="4">
    <w:name w:val="Balloon Text"/>
    <w:basedOn w:val="1"/>
    <w:link w:val="19"/>
    <w:unhideWhenUsed/>
    <w:qFormat/>
    <w:uiPriority w:val="99"/>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5"/>
    <w:unhideWhenUsed/>
    <w:qFormat/>
    <w:uiPriority w:val="99"/>
    <w:pPr>
      <w:snapToGrid w:val="0"/>
      <w:jc w:val="left"/>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unhideWhenUsed/>
    <w:qFormat/>
    <w:uiPriority w:val="99"/>
  </w:style>
  <w:style w:type="character" w:styleId="12">
    <w:name w:val="FollowedHyperlink"/>
    <w:basedOn w:val="10"/>
    <w:semiHidden/>
    <w:unhideWhenUsed/>
    <w:qFormat/>
    <w:uiPriority w:val="99"/>
    <w:rPr>
      <w:color w:val="800080"/>
      <w:u w:val="single"/>
    </w:rPr>
  </w:style>
  <w:style w:type="character" w:styleId="13">
    <w:name w:val="Emphasis"/>
    <w:basedOn w:val="10"/>
    <w:qFormat/>
    <w:uiPriority w:val="0"/>
    <w:rPr>
      <w:rFonts w:ascii="Times New Roman" w:hAnsi="Times New Roman" w:eastAsiaTheme="minorEastAsia"/>
      <w:b/>
      <w:bCs/>
      <w:kern w:val="44"/>
      <w:sz w:val="18"/>
      <w:szCs w:val="18"/>
      <w:lang w:val="zh-CN" w:eastAsia="zh-CN"/>
    </w:rPr>
  </w:style>
  <w:style w:type="character" w:styleId="14">
    <w:name w:val="Hyperlink"/>
    <w:basedOn w:val="10"/>
    <w:unhideWhenUsed/>
    <w:qFormat/>
    <w:uiPriority w:val="99"/>
    <w:rPr>
      <w:color w:val="0000FF" w:themeColor="hyperlink"/>
      <w:u w:val="single"/>
      <w14:textFill>
        <w14:solidFill>
          <w14:schemeClr w14:val="hlink"/>
        </w14:solidFill>
      </w14:textFill>
    </w:rPr>
  </w:style>
  <w:style w:type="character" w:customStyle="1" w:styleId="15">
    <w:name w:val="脚注文本 Char"/>
    <w:basedOn w:val="10"/>
    <w:link w:val="7"/>
    <w:qFormat/>
    <w:uiPriority w:val="99"/>
    <w:rPr>
      <w:sz w:val="18"/>
      <w:szCs w:val="18"/>
    </w:rPr>
  </w:style>
  <w:style w:type="paragraph" w:customStyle="1" w:styleId="16">
    <w:name w:val="列表段落1"/>
    <w:basedOn w:val="1"/>
    <w:qFormat/>
    <w:uiPriority w:val="34"/>
    <w:pPr>
      <w:ind w:firstLine="420" w:firstLineChars="200"/>
    </w:pPr>
  </w:style>
  <w:style w:type="paragraph" w:customStyle="1" w:styleId="17">
    <w:name w:val="p1"/>
    <w:basedOn w:val="1"/>
    <w:qFormat/>
    <w:uiPriority w:val="0"/>
    <w:pPr>
      <w:spacing w:line="380" w:lineRule="atLeast"/>
      <w:jc w:val="left"/>
    </w:pPr>
    <w:rPr>
      <w:rFonts w:ascii="Helvetica Neue" w:hAnsi="Helvetica Neue" w:eastAsia="Helvetica Neue" w:cs="Times New Roman"/>
      <w:color w:val="118EFF"/>
      <w:kern w:val="0"/>
      <w:sz w:val="26"/>
      <w:szCs w:val="26"/>
    </w:rPr>
  </w:style>
  <w:style w:type="character" w:customStyle="1" w:styleId="18">
    <w:name w:val="页眉 Char"/>
    <w:basedOn w:val="10"/>
    <w:link w:val="6"/>
    <w:qFormat/>
    <w:uiPriority w:val="99"/>
    <w:rPr>
      <w:rFonts w:asciiTheme="minorHAnsi" w:hAnsiTheme="minorHAnsi" w:eastAsiaTheme="minorEastAsia" w:cstheme="minorBidi"/>
      <w:kern w:val="2"/>
      <w:sz w:val="18"/>
      <w:szCs w:val="18"/>
    </w:rPr>
  </w:style>
  <w:style w:type="character" w:customStyle="1" w:styleId="19">
    <w:name w:val="批注框文本 Char"/>
    <w:basedOn w:val="10"/>
    <w:link w:val="4"/>
    <w:semiHidden/>
    <w:qFormat/>
    <w:uiPriority w:val="99"/>
    <w:rPr>
      <w:rFonts w:asciiTheme="minorHAnsi" w:hAnsiTheme="minorHAnsi" w:eastAsiaTheme="minorEastAsia" w:cstheme="minorBidi"/>
      <w:kern w:val="2"/>
      <w:sz w:val="18"/>
      <w:szCs w:val="18"/>
    </w:rPr>
  </w:style>
  <w:style w:type="paragraph" w:customStyle="1" w:styleId="20">
    <w:name w:val="列出段落1"/>
    <w:basedOn w:val="1"/>
    <w:qFormat/>
    <w:uiPriority w:val="99"/>
    <w:pPr>
      <w:ind w:firstLine="420" w:firstLineChars="200"/>
    </w:pPr>
  </w:style>
  <w:style w:type="character" w:customStyle="1" w:styleId="21">
    <w:name w:val="正文文本 Char"/>
    <w:basedOn w:val="10"/>
    <w:link w:val="3"/>
    <w:qFormat/>
    <w:uiPriority w:val="1"/>
    <w:rPr>
      <w:rFonts w:ascii="仿宋" w:hAnsi="仿宋" w:eastAsia="仿宋" w:cstheme="minorBidi"/>
      <w:sz w:val="21"/>
      <w:szCs w:val="21"/>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5</Pages>
  <Words>2256</Words>
  <Characters>2309</Characters>
  <Lines>19</Lines>
  <Paragraphs>5</Paragraphs>
  <TotalTime>0</TotalTime>
  <ScaleCrop>false</ScaleCrop>
  <LinksUpToDate>false</LinksUpToDate>
  <CharactersWithSpaces>2317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2024-09-07T04:57:00Z</dcterms:created>
  <dc:creator>huangwei</dc:creator>
  <cp:lastModifiedBy>王娜主任</cp:lastModifiedBy>
  <cp:lastPrinted>2020-03-05T21:54:00Z</cp:lastPrinted>
  <dcterms:modified xsi:type="dcterms:W3CDTF">2026-03-15T07:45:27Z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9DB6FA0BE39A42BDB5D63FFA7C8D4710_13</vt:lpwstr>
  </property>
  <property fmtid="{D5CDD505-2E9C-101B-9397-08002B2CF9AE}" pid="4" name="KSOTemplateDocerSaveRecord">
    <vt:lpwstr>eyJoZGlkIjoiNDhhYzhiN2QzNzI1ZDQ4ZTNmYTBkZWU2ZjhiOWFhNmYiLCJ1c2VySWQiOiI2MTk4NjQwMjUifQ==</vt:lpwstr>
  </property>
</Properties>
</file>