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left"/>
        <w:rPr>
          <w:rFonts w:hint="default" w:ascii="宋体" w:hAnsi="宋体" w:eastAsia="宋体" w:cs="宋体"/>
          <w:sz w:val="52"/>
          <w:szCs w:val="52"/>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52"/>
          <w:szCs w:val="52"/>
          <w:lang w:val="en-US" w:eastAsia="zh-CN"/>
        </w:rPr>
        <w:t xml:space="preserve">             过去篇</w:t>
      </w:r>
      <w:bookmarkStart w:id="0" w:name="_GoBack"/>
      <w:bookmarkEnd w:id="0"/>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sz w:val="21"/>
          <w:szCs w:val="21"/>
        </w:rPr>
      </w:pPr>
      <w:r>
        <w:rPr>
          <w:rFonts w:ascii="宋体" w:hAnsi="宋体" w:eastAsia="宋体" w:cs="宋体"/>
          <w:sz w:val="21"/>
          <w:szCs w:val="21"/>
        </w:rPr>
        <w:t>徐州作为兵家必争的军事政镇，从抗日战争到解放战争，一直处于兵役拉锯的状态，既无建设机会，也无实力可言。1949年全市总人口为三十三百七十二点六万人，而地区生产总值只有1.73亿。经过60年的建设，全市GDP整整增长了151.4倍，远远高于全国76.8的平均水平。全市财政收入增长1299.5倍，远高于全国增长1000倍的平均水平。现在的徐州已经是在全国内具有较高知名度影响力和竞争力的特大型中心城市，综合实力居全国大中城市的第36位。徐州的GDP已占到江苏省的6.6%工业增加值占全省的20%分之一，固定资产投资占全省的8.3%，从淮海经济区24个城市看，徐州GDP占8.8%列第二位。第三产业位列首位，社会投资列首位，社会消费品零售额占8.6%列第三位，城市居民收入分别列第二位和第三位，可以说明徐州的分量在全省及周边，越来越挣地位越来越高，影响越来越大，已经是举足轻重，令人瞩目。</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sz w:val="21"/>
          <w:szCs w:val="21"/>
        </w:rPr>
      </w:pPr>
      <w:r>
        <w:rPr>
          <w:rFonts w:ascii="宋体" w:hAnsi="宋体" w:eastAsia="宋体" w:cs="宋体"/>
          <w:sz w:val="21"/>
          <w:szCs w:val="21"/>
        </w:rPr>
        <w:t>建国初期，我</w:t>
      </w:r>
      <w:r>
        <w:rPr>
          <w:rFonts w:hint="eastAsia" w:ascii="宋体" w:hAnsi="宋体" w:eastAsia="宋体" w:cs="宋体"/>
          <w:sz w:val="21"/>
          <w:szCs w:val="21"/>
          <w:lang w:val="en-US" w:eastAsia="zh-CN"/>
        </w:rPr>
        <w:t>市发展水平低</w:t>
      </w:r>
      <w:r>
        <w:rPr>
          <w:rFonts w:ascii="宋体" w:hAnsi="宋体" w:eastAsia="宋体" w:cs="宋体"/>
          <w:sz w:val="21"/>
          <w:szCs w:val="21"/>
        </w:rPr>
        <w:t>，科技人才和管理建设人才严重缺乏，教育事业十分落后，文化发展基础薄弱，医疗卫生水平很低</w:t>
      </w:r>
      <w:r>
        <w:rPr>
          <w:rFonts w:hint="eastAsia" w:ascii="宋体" w:hAnsi="宋体" w:eastAsia="宋体" w:cs="宋体"/>
          <w:sz w:val="21"/>
          <w:szCs w:val="21"/>
          <w:lang w:eastAsia="zh-CN"/>
        </w:rPr>
        <w:t>。</w:t>
      </w:r>
      <w:r>
        <w:rPr>
          <w:rFonts w:ascii="宋体" w:hAnsi="宋体" w:eastAsia="宋体" w:cs="宋体"/>
          <w:sz w:val="21"/>
          <w:szCs w:val="21"/>
        </w:rPr>
        <w:t>直到1962年之前，徐州尚未有一所高校只有七所中专学校，而现在已有12所高校和12所中专学校。在校人数分别达12万人和6.2万人，分别比1962年增长了42倍和25倍。1978年，全市各类专业技术人才只有3.1万人，30年后的今天已达到2.4.83万人增长了七倍，现在的徐州已经是名副其实的全国历史文化名城科教人才大</w:t>
      </w:r>
      <w:r>
        <w:rPr>
          <w:rFonts w:hint="eastAsia" w:ascii="宋体" w:hAnsi="宋体" w:eastAsia="宋体" w:cs="宋体"/>
          <w:sz w:val="21"/>
          <w:szCs w:val="21"/>
          <w:lang w:val="en-US" w:eastAsia="zh-CN"/>
        </w:rPr>
        <w:t>市</w:t>
      </w:r>
      <w:r>
        <w:rPr>
          <w:rFonts w:ascii="宋体" w:hAnsi="宋体" w:eastAsia="宋体" w:cs="宋体"/>
          <w:sz w:val="21"/>
          <w:szCs w:val="21"/>
        </w:rPr>
        <w:t>医疗卫生事业的高地。</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20" w:firstLineChars="200"/>
        <w:jc w:val="left"/>
        <w:textAlignment w:val="auto"/>
        <w:rPr>
          <w:rFonts w:ascii="宋体" w:hAnsi="宋体" w:eastAsia="宋体" w:cs="宋体"/>
          <w:sz w:val="21"/>
          <w:szCs w:val="21"/>
        </w:rPr>
      </w:pPr>
      <w:r>
        <w:rPr>
          <w:rFonts w:ascii="Arial" w:hAnsi="Arial" w:eastAsia="宋体" w:cs="Arial"/>
          <w:i w:val="0"/>
          <w:iCs w:val="0"/>
          <w:caps w:val="0"/>
          <w:color w:val="333333"/>
          <w:spacing w:val="0"/>
          <w:sz w:val="21"/>
          <w:szCs w:val="21"/>
          <w:shd w:val="clear" w:fill="F6F7F1"/>
        </w:rPr>
        <w:t>徐州作为汉代发源地、军事重镇、交通枢纽和矿冶之城，有着灿烂的楚汉文化、战争文化、运河文化和工业遗产文化。自1978年党的十一届三中全会以后，随着中国迈入改革开放和社会主义现代化建设时期，徐州的历史文化名城建设开启新篇。从1978-1986年艰难起步，到1987-2003年快速发展，再到自2004至今的科学发展，徐州坚持城市现代风貌塑造和历史文化传承并举，相继出台历史文化名城、历史文化街区、近现代优秀建筑、老徐州历史文化片区等保护规划，确保徐州历史文化、山水风貌得以延续。</w:t>
      </w:r>
    </w:p>
    <w:p>
      <w:pPr>
        <w:keepNext w:val="0"/>
        <w:keepLines w:val="0"/>
        <w:pageBreakBefore w:val="0"/>
        <w:widowControl/>
        <w:shd w:val="clear" w:color="auto" w:fill="FFFFFF"/>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宋体"/>
          <w:sz w:val="21"/>
          <w:szCs w:val="21"/>
          <w:lang w:eastAsia="zh-CN"/>
        </w:rPr>
      </w:pPr>
      <w:r>
        <w:rPr>
          <w:rFonts w:ascii="宋体" w:hAnsi="宋体" w:eastAsia="宋体" w:cs="宋体"/>
          <w:sz w:val="21"/>
          <w:szCs w:val="21"/>
        </w:rPr>
        <w:t>现在的徐州已经成为江苏重点规划建设的四大特色城市之一，和三大都市圈的中心城市。我们在充分享受老城区焕发新面貌，带来更加宜居的生活的同时，新城区建设也加快推进。在整个城市形态正走向双核五组团的特大城市格局</w:t>
      </w:r>
      <w:r>
        <w:rPr>
          <w:rFonts w:hint="eastAsia" w:ascii="宋体" w:hAnsi="宋体" w:eastAsia="宋体" w:cs="宋体"/>
          <w:sz w:val="21"/>
          <w:szCs w:val="21"/>
          <w:lang w:eastAsia="zh-CN"/>
        </w:rPr>
        <w:t>。</w:t>
      </w:r>
      <w:r>
        <w:rPr>
          <w:rFonts w:ascii="宋体" w:hAnsi="宋体" w:eastAsia="宋体" w:cs="宋体"/>
          <w:sz w:val="21"/>
          <w:szCs w:val="21"/>
        </w:rPr>
        <w:t>现在徐州的农村</w:t>
      </w:r>
      <w:r>
        <w:rPr>
          <w:rFonts w:hint="eastAsia" w:ascii="宋体" w:hAnsi="宋体" w:eastAsia="宋体" w:cs="宋体"/>
          <w:sz w:val="21"/>
          <w:szCs w:val="21"/>
          <w:lang w:eastAsia="zh-CN"/>
        </w:rPr>
        <w:t>，</w:t>
      </w:r>
      <w:r>
        <w:rPr>
          <w:rFonts w:ascii="宋体" w:hAnsi="宋体" w:eastAsia="宋体" w:cs="宋体"/>
          <w:sz w:val="21"/>
          <w:szCs w:val="21"/>
        </w:rPr>
        <w:t>在发展变化的步伐也加快，随着</w:t>
      </w:r>
      <w:r>
        <w:rPr>
          <w:rFonts w:hint="eastAsia" w:ascii="宋体" w:hAnsi="宋体" w:eastAsia="宋体" w:cs="宋体"/>
          <w:sz w:val="21"/>
          <w:szCs w:val="21"/>
          <w:lang w:val="en-US" w:eastAsia="zh-CN"/>
        </w:rPr>
        <w:t>新老</w:t>
      </w:r>
      <w:r>
        <w:rPr>
          <w:rFonts w:ascii="宋体" w:hAnsi="宋体" w:eastAsia="宋体" w:cs="宋体"/>
          <w:sz w:val="21"/>
          <w:szCs w:val="21"/>
        </w:rPr>
        <w:t>两个五件实事的推进，新农村的建设水平不断提高，一个以城带乡城乡一体的新局面正在到来</w:t>
      </w:r>
      <w:r>
        <w:rPr>
          <w:rFonts w:hint="eastAsia" w:ascii="宋体" w:hAnsi="宋体" w:eastAsia="宋体" w:cs="宋体"/>
          <w:sz w:val="21"/>
          <w:szCs w:val="21"/>
          <w:lang w:eastAsia="zh-CN"/>
        </w:rPr>
        <w:t>。</w:t>
      </w:r>
    </w:p>
    <w:p>
      <w:pPr>
        <w:widowControl/>
        <w:shd w:val="clear" w:color="auto" w:fill="FFFFFF"/>
        <w:jc w:val="left"/>
        <w:rPr>
          <w:rFonts w:ascii="Arial" w:hAnsi="Arial" w:eastAsia="宋体" w:cs="Arial"/>
          <w:color w:val="191919"/>
          <w:kern w:val="0"/>
          <w:sz w:val="24"/>
          <w:szCs w:val="24"/>
        </w:rPr>
      </w:pPr>
      <w:r>
        <w:rPr>
          <w:rFonts w:ascii="Arial" w:hAnsi="Arial" w:eastAsia="宋体" w:cs="Arial"/>
          <w:b/>
          <w:bCs/>
          <w:color w:val="191919"/>
          <w:kern w:val="0"/>
          <w:sz w:val="24"/>
          <w:szCs w:val="24"/>
        </w:rPr>
        <w:t>GDP：1489.31亿元；增速7.0%</w:t>
      </w:r>
    </w:p>
    <w:p>
      <w:pPr>
        <w:widowControl/>
        <w:shd w:val="clear" w:color="auto" w:fill="FFFFFF"/>
        <w:jc w:val="left"/>
        <w:rPr>
          <w:rFonts w:ascii="Arial" w:hAnsi="Arial" w:eastAsia="宋体" w:cs="Arial"/>
          <w:color w:val="191919"/>
          <w:kern w:val="0"/>
          <w:sz w:val="24"/>
          <w:szCs w:val="24"/>
        </w:rPr>
      </w:pPr>
      <w:r>
        <w:rPr>
          <w:rFonts w:ascii="Arial" w:hAnsi="Arial" w:eastAsia="宋体" w:cs="Arial"/>
          <w:color w:val="191919"/>
          <w:kern w:val="0"/>
          <w:sz w:val="24"/>
          <w:szCs w:val="24"/>
        </w:rPr>
        <w:drawing>
          <wp:anchor distT="0" distB="0" distL="114300" distR="114300" simplePos="0" relativeHeight="251659264" behindDoc="1" locked="0" layoutInCell="1" allowOverlap="1">
            <wp:simplePos x="0" y="0"/>
            <wp:positionH relativeFrom="column">
              <wp:posOffset>2531110</wp:posOffset>
            </wp:positionH>
            <wp:positionV relativeFrom="paragraph">
              <wp:posOffset>32385</wp:posOffset>
            </wp:positionV>
            <wp:extent cx="4565650" cy="2247900"/>
            <wp:effectExtent l="0" t="0" r="6350" b="0"/>
            <wp:wrapTight wrapText="bothSides">
              <wp:wrapPolygon>
                <wp:start x="0" y="0"/>
                <wp:lineTo x="0" y="21478"/>
                <wp:lineTo x="21570" y="21478"/>
                <wp:lineTo x="21570" y="0"/>
                <wp:lineTo x="0" y="0"/>
              </wp:wrapPolygon>
            </wp:wrapTight>
            <wp:docPr id="3" name="图片 3" descr="http://5b0988e595225.cdn.sohucs.com/images/20180616/a3ecf5dfc9e54fb59d4e1b2f5ca1b14e.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http://5b0988e595225.cdn.sohucs.com/images/20180616/a3ecf5dfc9e54fb59d4e1b2f5ca1b14e.jpe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4565453" cy="2247900"/>
                    </a:xfrm>
                    <a:prstGeom prst="rect">
                      <a:avLst/>
                    </a:prstGeom>
                    <a:noFill/>
                    <a:ln>
                      <a:noFill/>
                    </a:ln>
                  </pic:spPr>
                </pic:pic>
              </a:graphicData>
            </a:graphic>
          </wp:anchor>
        </w:drawing>
      </w:r>
      <w:r>
        <w:rPr>
          <w:rFonts w:ascii="Segoe UI Symbol" w:hAnsi="Segoe UI Symbol" w:eastAsia="宋体" w:cs="Segoe UI Symbol"/>
          <w:b/>
          <w:bCs/>
          <w:color w:val="191919"/>
          <w:kern w:val="0"/>
          <w:sz w:val="24"/>
          <w:szCs w:val="24"/>
        </w:rPr>
        <w:t>✍</w:t>
      </w:r>
      <w:r>
        <w:rPr>
          <w:rFonts w:ascii="Arial" w:hAnsi="Arial" w:eastAsia="宋体" w:cs="Arial"/>
          <w:b/>
          <w:bCs/>
          <w:color w:val="191919"/>
          <w:kern w:val="0"/>
          <w:sz w:val="24"/>
          <w:szCs w:val="24"/>
        </w:rPr>
        <w:t>服务业占比：45.1%</w:t>
      </w:r>
    </w:p>
    <w:p>
      <w:pPr>
        <w:widowControl/>
        <w:shd w:val="clear" w:color="auto" w:fill="FFFFFF"/>
        <w:jc w:val="left"/>
        <w:rPr>
          <w:rFonts w:ascii="Arial" w:hAnsi="Arial" w:eastAsia="宋体" w:cs="Arial"/>
          <w:color w:val="191919"/>
          <w:kern w:val="0"/>
          <w:sz w:val="24"/>
          <w:szCs w:val="24"/>
        </w:rPr>
      </w:pPr>
      <w:r>
        <w:rPr>
          <w:rFonts w:ascii="Arial" w:hAnsi="Arial" w:eastAsia="宋体" w:cs="Arial"/>
          <w:color w:val="191919"/>
          <w:kern w:val="0"/>
          <w:sz w:val="24"/>
          <w:szCs w:val="24"/>
        </w:rPr>
        <w:t>徐州古称彭城，有着4000多年的悠久历史，历史上为华夏九州之一，是国家“一带一路”重要节点城市。</w:t>
      </w:r>
    </w:p>
    <w:p>
      <w:pPr>
        <w:widowControl/>
        <w:shd w:val="clear" w:color="auto" w:fill="FFFFFF"/>
        <w:jc w:val="left"/>
        <w:rPr>
          <w:rFonts w:ascii="Arial" w:hAnsi="Arial" w:eastAsia="宋体" w:cs="Arial"/>
          <w:color w:val="191919"/>
          <w:kern w:val="0"/>
          <w:sz w:val="24"/>
          <w:szCs w:val="24"/>
        </w:rPr>
      </w:pPr>
      <w:r>
        <w:rPr>
          <w:rFonts w:ascii="Arial" w:hAnsi="Arial" w:eastAsia="宋体" w:cs="Arial"/>
          <w:color w:val="191919"/>
          <w:kern w:val="0"/>
          <w:sz w:val="24"/>
          <w:szCs w:val="24"/>
        </w:rPr>
        <w:t>有“中国工程机械之都”的美誉。作为淮海之都，以后潜力会很大。</w:t>
      </w:r>
    </w:p>
    <w:p>
      <w:pPr>
        <w:widowControl/>
        <w:shd w:val="clear" w:color="auto" w:fill="FFFFFF"/>
        <w:jc w:val="left"/>
        <w:rPr>
          <w:rFonts w:ascii="Arial" w:hAnsi="Arial" w:eastAsia="宋体" w:cs="Arial"/>
          <w:color w:val="191919"/>
          <w:kern w:val="0"/>
          <w:sz w:val="24"/>
          <w:szCs w:val="24"/>
        </w:rPr>
      </w:pPr>
      <w:r>
        <w:rPr>
          <w:rFonts w:ascii="Arial" w:hAnsi="Arial" w:eastAsia="宋体" w:cs="Arial"/>
          <w:color w:val="191919"/>
          <w:kern w:val="0"/>
          <w:sz w:val="24"/>
          <w:szCs w:val="24"/>
        </w:rPr>
        <w:t>徐州目前平均工资为——</w:t>
      </w:r>
    </w:p>
    <w:p>
      <w:pPr>
        <w:widowControl/>
        <w:shd w:val="clear" w:color="auto" w:fill="FFFFFF"/>
        <w:jc w:val="left"/>
        <w:rPr>
          <w:rFonts w:ascii="Arial" w:hAnsi="Arial" w:eastAsia="宋体" w:cs="Arial"/>
          <w:color w:val="191919"/>
          <w:kern w:val="0"/>
          <w:sz w:val="24"/>
          <w:szCs w:val="24"/>
        </w:rPr>
      </w:pPr>
      <w:r>
        <w:rPr>
          <w:rFonts w:ascii="Arial" w:hAnsi="Arial" w:eastAsia="宋体" w:cs="Arial"/>
          <w:color w:val="191919"/>
          <w:kern w:val="0"/>
          <w:sz w:val="24"/>
          <w:szCs w:val="24"/>
        </w:rPr>
        <w:t>城镇非私营单位</w:t>
      </w:r>
      <w:r>
        <w:rPr>
          <w:rFonts w:ascii="Arial" w:hAnsi="Arial" w:eastAsia="宋体" w:cs="Arial"/>
          <w:b/>
          <w:bCs/>
          <w:color w:val="191919"/>
          <w:kern w:val="0"/>
          <w:sz w:val="24"/>
          <w:szCs w:val="24"/>
        </w:rPr>
        <w:t>62101元/年</w:t>
      </w:r>
      <w:r>
        <w:rPr>
          <w:rFonts w:ascii="Arial" w:hAnsi="Arial" w:eastAsia="宋体" w:cs="Arial"/>
          <w:color w:val="191919"/>
          <w:kern w:val="0"/>
          <w:sz w:val="24"/>
          <w:szCs w:val="24"/>
        </w:rPr>
        <w:t>；城镇私营单位</w:t>
      </w:r>
      <w:r>
        <w:rPr>
          <w:rFonts w:ascii="Arial" w:hAnsi="Arial" w:eastAsia="宋体" w:cs="Arial"/>
          <w:b/>
          <w:bCs/>
          <w:color w:val="191919"/>
          <w:kern w:val="0"/>
          <w:sz w:val="24"/>
          <w:szCs w:val="24"/>
        </w:rPr>
        <w:t>44506元/年</w:t>
      </w:r>
      <w:r>
        <w:rPr>
          <w:rFonts w:ascii="Arial" w:hAnsi="Arial" w:eastAsia="宋体" w:cs="Arial"/>
          <w:color w:val="191919"/>
          <w:kern w:val="0"/>
          <w:sz w:val="24"/>
          <w:szCs w:val="24"/>
        </w:rPr>
        <w:t>；</w:t>
      </w:r>
    </w:p>
    <w:p>
      <w:pPr>
        <w:widowControl/>
        <w:shd w:val="clear" w:color="auto" w:fill="FFFFFF"/>
        <w:jc w:val="left"/>
        <w:rPr>
          <w:rFonts w:ascii="Arial" w:hAnsi="Arial" w:eastAsia="宋体" w:cs="Arial"/>
          <w:color w:val="191919"/>
          <w:kern w:val="0"/>
          <w:sz w:val="24"/>
          <w:szCs w:val="24"/>
        </w:rPr>
      </w:pPr>
      <w:r>
        <w:rPr>
          <w:rFonts w:ascii="Arial" w:hAnsi="Arial" w:eastAsia="宋体" w:cs="Arial"/>
          <w:color w:val="191919"/>
          <w:kern w:val="0"/>
          <w:sz w:val="24"/>
          <w:szCs w:val="24"/>
        </w:rPr>
        <w:t>徐州六月二手房均价：</w:t>
      </w:r>
      <w:r>
        <w:rPr>
          <w:rFonts w:ascii="Arial" w:hAnsi="Arial" w:eastAsia="宋体" w:cs="Arial"/>
          <w:b/>
          <w:bCs/>
          <w:color w:val="191919"/>
          <w:kern w:val="0"/>
          <w:sz w:val="24"/>
          <w:szCs w:val="24"/>
        </w:rPr>
        <w:t>9855元/㎡</w:t>
      </w:r>
    </w:p>
    <w:p>
      <w:pPr>
        <w:widowControl/>
        <w:shd w:val="clear" w:color="auto" w:fill="FFFFFF"/>
        <w:spacing w:before="151" w:after="432"/>
        <w:jc w:val="left"/>
        <w:rPr>
          <w:rFonts w:ascii="Arial" w:hAnsi="Arial" w:eastAsia="宋体" w:cs="Arial"/>
          <w:color w:val="191919"/>
          <w:kern w:val="0"/>
          <w:sz w:val="24"/>
          <w:szCs w:val="24"/>
        </w:rPr>
      </w:pPr>
    </w:p>
    <w:p>
      <w:pPr>
        <w:widowControl/>
        <w:shd w:val="clear" w:color="auto" w:fill="FFFFFF"/>
        <w:jc w:val="left"/>
        <w:rPr>
          <w:rFonts w:ascii="Arial" w:hAnsi="Arial" w:eastAsia="宋体" w:cs="Arial"/>
          <w:color w:val="191919"/>
          <w:kern w:val="0"/>
          <w:sz w:val="24"/>
          <w:szCs w:val="24"/>
        </w:rPr>
      </w:pPr>
      <w:r>
        <w:rPr>
          <w:rFonts w:ascii="Arial" w:hAnsi="Arial" w:eastAsia="宋体" w:cs="Arial"/>
          <w:color w:val="191919"/>
          <w:kern w:val="0"/>
          <w:sz w:val="24"/>
          <w:szCs w:val="24"/>
        </w:rPr>
        <w:t>徐州房价在整个江苏来看不算很高，最低的仅有3698元/㎡</w:t>
      </w:r>
    </w:p>
    <w:tbl>
      <w:tblPr>
        <w:tblStyle w:val="2"/>
        <w:tblW w:w="0" w:type="auto"/>
        <w:tblInd w:w="0" w:type="dxa"/>
        <w:shd w:val="clear" w:color="auto" w:fill="FFFFFF"/>
        <w:tblLayout w:type="autofit"/>
        <w:tblCellMar>
          <w:top w:w="0" w:type="dxa"/>
          <w:left w:w="0" w:type="dxa"/>
          <w:bottom w:w="0" w:type="dxa"/>
          <w:right w:w="0" w:type="dxa"/>
        </w:tblCellMar>
      </w:tblPr>
      <w:tblGrid>
        <w:gridCol w:w="930"/>
        <w:gridCol w:w="1890"/>
        <w:gridCol w:w="1997"/>
      </w:tblGrid>
      <w:tr>
        <w:tblPrEx>
          <w:shd w:val="clear" w:color="auto" w:fill="FFFFFF"/>
          <w:tblCellMar>
            <w:top w:w="0" w:type="dxa"/>
            <w:left w:w="0" w:type="dxa"/>
            <w:bottom w:w="0" w:type="dxa"/>
            <w:right w:w="0" w:type="dxa"/>
          </w:tblCellMar>
        </w:tblPrEx>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排名</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徐州市各区</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二手房价元/m²</w:t>
            </w:r>
          </w:p>
        </w:tc>
      </w:tr>
      <w:tr>
        <w:tblPrEx>
          <w:shd w:val="clear" w:color="auto" w:fill="FFFFFF"/>
          <w:tblCellMar>
            <w:top w:w="0" w:type="dxa"/>
            <w:left w:w="0" w:type="dxa"/>
            <w:bottom w:w="0" w:type="dxa"/>
            <w:right w:w="0" w:type="dxa"/>
          </w:tblCellMar>
        </w:tblPrEx>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1</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新城</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11544</w:t>
            </w:r>
          </w:p>
        </w:tc>
      </w:tr>
      <w:tr>
        <w:tblPrEx>
          <w:tblCellMar>
            <w:top w:w="0" w:type="dxa"/>
            <w:left w:w="0" w:type="dxa"/>
            <w:bottom w:w="0" w:type="dxa"/>
            <w:right w:w="0" w:type="dxa"/>
          </w:tblCellMar>
        </w:tblPrEx>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2</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泉山</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11306</w:t>
            </w:r>
          </w:p>
        </w:tc>
      </w:tr>
      <w:tr>
        <w:tblPrEx>
          <w:tblCellMar>
            <w:top w:w="0" w:type="dxa"/>
            <w:left w:w="0" w:type="dxa"/>
            <w:bottom w:w="0" w:type="dxa"/>
            <w:right w:w="0" w:type="dxa"/>
          </w:tblCellMar>
        </w:tblPrEx>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3</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云龙</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11025</w:t>
            </w:r>
          </w:p>
        </w:tc>
      </w:tr>
      <w:tr>
        <w:tblPrEx>
          <w:tblCellMar>
            <w:top w:w="0" w:type="dxa"/>
            <w:left w:w="0" w:type="dxa"/>
            <w:bottom w:w="0" w:type="dxa"/>
            <w:right w:w="0" w:type="dxa"/>
          </w:tblCellMar>
        </w:tblPrEx>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4</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鼓楼</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9537</w:t>
            </w:r>
          </w:p>
        </w:tc>
      </w:tr>
      <w:tr>
        <w:tblPrEx>
          <w:tblCellMar>
            <w:top w:w="0" w:type="dxa"/>
            <w:left w:w="0" w:type="dxa"/>
            <w:bottom w:w="0" w:type="dxa"/>
            <w:right w:w="0" w:type="dxa"/>
          </w:tblCellMar>
        </w:tblPrEx>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5</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金山桥开发区</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9456</w:t>
            </w:r>
          </w:p>
        </w:tc>
      </w:tr>
      <w:tr>
        <w:tblPrEx>
          <w:tblCellMar>
            <w:top w:w="0" w:type="dxa"/>
            <w:left w:w="0" w:type="dxa"/>
            <w:bottom w:w="0" w:type="dxa"/>
            <w:right w:w="0" w:type="dxa"/>
          </w:tblCellMar>
        </w:tblPrEx>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6</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铜山</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9393</w:t>
            </w:r>
          </w:p>
        </w:tc>
      </w:tr>
      <w:tr>
        <w:tblPrEx>
          <w:tblCellMar>
            <w:top w:w="0" w:type="dxa"/>
            <w:left w:w="0" w:type="dxa"/>
            <w:bottom w:w="0" w:type="dxa"/>
            <w:right w:w="0" w:type="dxa"/>
          </w:tblCellMar>
        </w:tblPrEx>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7</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邳州</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7947</w:t>
            </w:r>
          </w:p>
        </w:tc>
      </w:tr>
      <w:tr>
        <w:tblPrEx>
          <w:tblCellMar>
            <w:top w:w="0" w:type="dxa"/>
            <w:left w:w="0" w:type="dxa"/>
            <w:bottom w:w="0" w:type="dxa"/>
            <w:right w:w="0" w:type="dxa"/>
          </w:tblCellMar>
        </w:tblPrEx>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8</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九里</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7504</w:t>
            </w:r>
          </w:p>
        </w:tc>
      </w:tr>
      <w:tr>
        <w:tblPrEx>
          <w:tblCellMar>
            <w:top w:w="0" w:type="dxa"/>
            <w:left w:w="0" w:type="dxa"/>
            <w:bottom w:w="0" w:type="dxa"/>
            <w:right w:w="0" w:type="dxa"/>
          </w:tblCellMar>
        </w:tblPrEx>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9</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丰县</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6455</w:t>
            </w:r>
          </w:p>
        </w:tc>
      </w:tr>
      <w:tr>
        <w:tblPrEx>
          <w:tblCellMar>
            <w:top w:w="0" w:type="dxa"/>
            <w:left w:w="0" w:type="dxa"/>
            <w:bottom w:w="0" w:type="dxa"/>
            <w:right w:w="0" w:type="dxa"/>
          </w:tblCellMar>
        </w:tblPrEx>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10</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贾汪</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4541</w:t>
            </w:r>
          </w:p>
        </w:tc>
      </w:tr>
      <w:tr>
        <w:tblPrEx>
          <w:tblCellMar>
            <w:top w:w="0" w:type="dxa"/>
            <w:left w:w="0" w:type="dxa"/>
            <w:bottom w:w="0" w:type="dxa"/>
            <w:right w:w="0" w:type="dxa"/>
          </w:tblCellMar>
        </w:tblPrEx>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11</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新沂</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4408</w:t>
            </w:r>
          </w:p>
        </w:tc>
      </w:tr>
      <w:tr>
        <w:tblPrEx>
          <w:tblCellMar>
            <w:top w:w="0" w:type="dxa"/>
            <w:left w:w="0" w:type="dxa"/>
            <w:bottom w:w="0" w:type="dxa"/>
            <w:right w:w="0" w:type="dxa"/>
          </w:tblCellMar>
        </w:tblPrEx>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12</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沛县</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4283</w:t>
            </w:r>
          </w:p>
        </w:tc>
      </w:tr>
      <w:tr>
        <w:tblPrEx>
          <w:tblCellMar>
            <w:top w:w="0" w:type="dxa"/>
            <w:left w:w="0" w:type="dxa"/>
            <w:bottom w:w="0" w:type="dxa"/>
            <w:right w:w="0" w:type="dxa"/>
          </w:tblCellMar>
        </w:tblPrEx>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13</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睢宁县</w:t>
            </w:r>
          </w:p>
        </w:tc>
        <w:tc>
          <w:tcPr>
            <w:tcW w:w="0" w:type="auto"/>
            <w:shd w:val="clear" w:color="auto" w:fill="F8F7F3"/>
            <w:tcMar>
              <w:top w:w="135" w:type="dxa"/>
              <w:left w:w="225" w:type="dxa"/>
              <w:bottom w:w="135" w:type="dxa"/>
              <w:right w:w="225" w:type="dxa"/>
            </w:tcMar>
            <w:vAlign w:val="center"/>
          </w:tcPr>
          <w:p>
            <w:pPr>
              <w:widowControl/>
              <w:spacing w:line="390" w:lineRule="atLeast"/>
              <w:jc w:val="center"/>
              <w:rPr>
                <w:rFonts w:ascii="Arial" w:hAnsi="Arial" w:eastAsia="宋体" w:cs="Arial"/>
                <w:color w:val="191919"/>
                <w:kern w:val="0"/>
                <w:szCs w:val="21"/>
              </w:rPr>
            </w:pPr>
            <w:r>
              <w:rPr>
                <w:rFonts w:ascii="Arial" w:hAnsi="Arial" w:eastAsia="宋体" w:cs="Arial"/>
                <w:color w:val="191919"/>
                <w:kern w:val="0"/>
                <w:sz w:val="24"/>
                <w:szCs w:val="24"/>
              </w:rPr>
              <w:t>3698</w:t>
            </w:r>
          </w:p>
        </w:tc>
      </w:tr>
    </w:tbl>
    <w:p>
      <w:pPr>
        <w:widowControl/>
        <w:shd w:val="clear" w:color="auto" w:fill="FFFFFF"/>
        <w:jc w:val="left"/>
        <w:rPr>
          <w:rFonts w:hint="eastAsia" w:ascii="宋体" w:hAnsi="宋体" w:eastAsia="宋体" w:cs="宋体"/>
          <w:sz w:val="24"/>
          <w:szCs w:val="24"/>
          <w:lang w:eastAsia="zh-CN"/>
        </w:rPr>
      </w:pPr>
    </w:p>
    <w:p>
      <w:pPr>
        <w:widowControl/>
        <w:shd w:val="clear" w:color="auto" w:fill="FFFFFF"/>
        <w:jc w:val="left"/>
        <w:rPr>
          <w:rFonts w:hint="eastAsia" w:ascii="宋体" w:hAnsi="宋体" w:eastAsia="宋体" w:cs="宋体"/>
          <w:sz w:val="24"/>
          <w:szCs w:val="24"/>
          <w:lang w:eastAsia="zh-CN"/>
        </w:rPr>
      </w:pPr>
      <w:r>
        <w:drawing>
          <wp:inline distT="0" distB="0" distL="0" distR="0">
            <wp:extent cx="6645910" cy="5734685"/>
            <wp:effectExtent l="0" t="0" r="8890" b="5715"/>
            <wp:docPr id="2" name="图片 2" descr="https://gimg2.baidu.com/image_search/src=http%3A%2F%2Fwww.mailizc.com%2Fdata%2Fu245440%2F20190426__1_1556281212682.jpg&amp;refer=http%3A%2F%2Fwww.mailizc.com&amp;app=2002&amp;size=f9999,10000&amp;q=a80&amp;n=0&amp;g=0n&amp;fmt=jpeg?sec=1638848833&amp;t=75db376b11290fc808d147494bc32aa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https://gimg2.baidu.com/image_search/src=http%3A%2F%2Fwww.mailizc.com%2Fdata%2Fu245440%2F20190426__1_1556281212682.jpg&amp;refer=http%3A%2F%2Fwww.mailizc.com&amp;app=2002&amp;size=f9999,10000&amp;q=a80&amp;n=0&amp;g=0n&amp;fmt=jpeg?sec=1638848833&amp;t=75db376b11290fc808d147494bc32aa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6645910" cy="5735174"/>
                    </a:xfrm>
                    <a:prstGeom prst="rect">
                      <a:avLst/>
                    </a:prstGeom>
                    <a:noFill/>
                    <a:ln>
                      <a:noFill/>
                    </a:ln>
                  </pic:spPr>
                </pic:pic>
              </a:graphicData>
            </a:graphic>
          </wp:inline>
        </w:drawing>
      </w:r>
    </w:p>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 UI Symbol">
    <w:panose1 w:val="020B0502040204020203"/>
    <w:charset w:val="00"/>
    <w:family w:val="swiss"/>
    <w:pitch w:val="default"/>
    <w:sig w:usb0="8000006F" w:usb1="1200FBEF" w:usb2="0064C000" w:usb3="00000002" w:csb0="00000001" w:csb1="4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16D0F25"/>
    <w:rsid w:val="55822E08"/>
    <w:rsid w:val="57102BF5"/>
    <w:rsid w:val="5AB15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2021-11-29T05:09:00Z</dcterms:created>
  <dc:creator>86158</dc:creator>
  <cp:lastModifiedBy>双双</cp:lastModifiedBy>
  <dcterms:modified xsi:type="dcterms:W3CDTF">2022-01-18T09:35:58Z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721C67DDC5ED48F89D731CDB6C4D653C</vt:lpwstr>
  </property>
</Properties>
</file>