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9999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eastAsia="zh"/>
        </w:rPr>
      </w:pPr>
    </w:p>
    <w:p w14:paraId="1105262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eastAsia="zh"/>
        </w:rPr>
        <w:t>徐州博物馆文物中的数学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奥秘（</w:t>
      </w:r>
      <w:r>
        <w:rPr>
          <w:rFonts w:hint="eastAsia" w:ascii="黑体" w:hAnsi="黑体" w:eastAsia="黑体" w:cs="黑体"/>
          <w:sz w:val="52"/>
          <w:szCs w:val="52"/>
          <w:lang w:eastAsia="zh"/>
        </w:rPr>
        <w:t>尺规作图</w:t>
      </w:r>
      <w:r>
        <w:rPr>
          <w:rFonts w:hint="eastAsia" w:ascii="黑体" w:hAnsi="黑体" w:eastAsia="黑体" w:cs="黑体"/>
          <w:sz w:val="52"/>
          <w:szCs w:val="52"/>
          <w:lang w:eastAsia="zh-CN"/>
        </w:rPr>
        <w:t>）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课题研究</w:t>
      </w:r>
    </w:p>
    <w:p w14:paraId="6C74F868">
      <w:pPr>
        <w:rPr>
          <w:rFonts w:hint="eastAsia"/>
          <w:sz w:val="21"/>
          <w:szCs w:val="21"/>
          <w:lang w:val="en-US" w:eastAsia="zh-CN"/>
        </w:rPr>
      </w:pPr>
    </w:p>
    <w:p w14:paraId="57535968"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开题报告</w:t>
      </w:r>
    </w:p>
    <w:p w14:paraId="4658054E">
      <w:pPr>
        <w:rPr>
          <w:rFonts w:hint="eastAsia" w:asciiTheme="minorEastAsia" w:hAnsiTheme="minorEastAsia" w:eastAsiaTheme="minorEastAsia" w:cstheme="minorEastAsia"/>
          <w:sz w:val="84"/>
          <w:szCs w:val="84"/>
          <w:lang w:val="en-US" w:eastAsia="zh-CN"/>
        </w:rPr>
      </w:pPr>
    </w:p>
    <w:p w14:paraId="7EE8490A">
      <w:pPr>
        <w:rPr>
          <w:rFonts w:hint="eastAsia" w:asciiTheme="minorEastAsia" w:hAnsiTheme="minorEastAsia" w:eastAsiaTheme="minorEastAsia" w:cstheme="minorEastAsia"/>
          <w:sz w:val="84"/>
          <w:szCs w:val="84"/>
          <w:lang w:val="en-US" w:eastAsia="zh-CN"/>
        </w:rPr>
      </w:pPr>
    </w:p>
    <w:p w14:paraId="03DE970E">
      <w:pPr>
        <w:rPr>
          <w:rFonts w:hint="eastAsia" w:asciiTheme="minorEastAsia" w:hAnsiTheme="minorEastAsia" w:eastAsiaTheme="minorEastAsia" w:cstheme="minorEastAsia"/>
          <w:sz w:val="84"/>
          <w:szCs w:val="84"/>
          <w:lang w:val="en-US" w:eastAsia="zh-CN"/>
        </w:rPr>
      </w:pPr>
    </w:p>
    <w:p w14:paraId="0713865B">
      <w:pPr>
        <w:spacing w:line="480" w:lineRule="auto"/>
        <w:ind w:firstLine="1800" w:firstLineChars="60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 xml:space="preserve">学 </w:t>
      </w:r>
      <w:r>
        <w:rPr>
          <w:rFonts w:ascii="宋体" w:hAnsi="宋体"/>
          <w:bCs/>
          <w:sz w:val="30"/>
          <w:szCs w:val="30"/>
        </w:rPr>
        <w:t xml:space="preserve">   </w:t>
      </w:r>
      <w:r>
        <w:rPr>
          <w:rFonts w:hint="eastAsia" w:ascii="宋体" w:hAnsi="宋体"/>
          <w:bCs/>
          <w:sz w:val="30"/>
          <w:szCs w:val="30"/>
        </w:rPr>
        <w:t>校：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中国</w:t>
      </w:r>
      <w:r>
        <w:rPr>
          <w:rFonts w:ascii="宋体" w:hAnsi="宋体"/>
          <w:bCs/>
          <w:sz w:val="30"/>
          <w:szCs w:val="30"/>
          <w:u w:val="single"/>
        </w:rPr>
        <w:t>矿业大学附属中学</w:t>
      </w:r>
    </w:p>
    <w:p w14:paraId="13161300">
      <w:pPr>
        <w:spacing w:line="480" w:lineRule="auto"/>
        <w:ind w:firstLine="1800" w:firstLineChars="600"/>
        <w:jc w:val="both"/>
        <w:rPr>
          <w:rFonts w:hint="default" w:ascii="宋体" w:hAnsi="宋体" w:eastAsia="微软雅黑"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Cs/>
          <w:sz w:val="30"/>
          <w:szCs w:val="30"/>
        </w:rPr>
        <w:t xml:space="preserve">班 </w:t>
      </w:r>
      <w:r>
        <w:rPr>
          <w:rFonts w:ascii="宋体" w:hAnsi="宋体"/>
          <w:bCs/>
          <w:sz w:val="30"/>
          <w:szCs w:val="30"/>
        </w:rPr>
        <w:t xml:space="preserve">   </w:t>
      </w:r>
      <w:r>
        <w:rPr>
          <w:rFonts w:hint="eastAsia" w:ascii="宋体" w:hAnsi="宋体"/>
          <w:bCs/>
          <w:sz w:val="30"/>
          <w:szCs w:val="30"/>
        </w:rPr>
        <w:t>级：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 初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>三</w:t>
      </w:r>
      <w:r>
        <w:rPr>
          <w:rFonts w:hint="eastAsia" w:ascii="宋体" w:hAnsi="宋体"/>
          <w:bCs/>
          <w:sz w:val="30"/>
          <w:szCs w:val="30"/>
          <w:u w:val="single"/>
        </w:rPr>
        <w:t>（2）班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       </w:t>
      </w:r>
    </w:p>
    <w:p w14:paraId="50E3947B">
      <w:pPr>
        <w:spacing w:line="480" w:lineRule="auto"/>
        <w:ind w:firstLine="1800" w:firstLineChars="600"/>
        <w:jc w:val="left"/>
        <w:rPr>
          <w:rFonts w:hint="default" w:ascii="宋体" w:hAnsi="宋体" w:eastAsia="微软雅黑"/>
          <w:bCs/>
          <w:sz w:val="30"/>
          <w:szCs w:val="30"/>
          <w:u w:val="single"/>
          <w:lang w:val="en-US" w:eastAsia="zh-CN"/>
        </w:rPr>
      </w:pPr>
      <w:r>
        <w:rPr>
          <w:rFonts w:hint="eastAsia" w:ascii="宋体" w:hAnsi="宋体"/>
          <w:bCs/>
          <w:sz w:val="30"/>
          <w:szCs w:val="30"/>
        </w:rPr>
        <w:t>主 持 人：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 陈乐翰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Cs/>
          <w:sz w:val="30"/>
          <w:szCs w:val="30"/>
          <w:u w:val="single"/>
          <w:lang w:val="en-US" w:eastAsia="zh-CN"/>
        </w:rPr>
        <w:t xml:space="preserve">     </w:t>
      </w:r>
    </w:p>
    <w:p w14:paraId="45C41657">
      <w:pPr>
        <w:spacing w:line="360" w:lineRule="auto"/>
        <w:jc w:val="left"/>
        <w:rPr>
          <w:rFonts w:hint="default" w:eastAsia="微软雅黑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</w:t>
      </w:r>
      <w:r>
        <w:rPr>
          <w:rFonts w:hint="eastAsia"/>
          <w:sz w:val="30"/>
          <w:szCs w:val="30"/>
        </w:rPr>
        <w:t>指导老师：</w:t>
      </w:r>
      <w:r>
        <w:rPr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张欣               </w:t>
      </w:r>
    </w:p>
    <w:p w14:paraId="055E1456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1A19B178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4CEE1C8B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2A33400D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3D1396F1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53C5F58E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5EE63D46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0552BE42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230F8146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511044A1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6C41562D">
      <w:pPr>
        <w:rPr>
          <w:rFonts w:hint="eastAsia" w:asciiTheme="minorEastAsia" w:hAnsiTheme="minorEastAsia" w:eastAsiaTheme="minorEastAsia" w:cstheme="minorEastAsia"/>
          <w:lang w:eastAsia="zh"/>
          <w:woUserID w:val="1"/>
        </w:rPr>
      </w:pPr>
    </w:p>
    <w:p w14:paraId="75501A69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  <w:t>一、课题名称</w:t>
      </w:r>
    </w:p>
    <w:p w14:paraId="1B73159A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徐州博物馆文物中的数学尺规作图研究</w:t>
      </w:r>
    </w:p>
    <w:p w14:paraId="48F26F63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  <w:woUserID w:val="1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  <w:t>研究背景</w:t>
      </w:r>
    </w:p>
    <w:p w14:paraId="23810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徐州古称彭城，是两汉文化的发源地。徐州博物馆作为国家一级博物馆，收藏了大量精美的汉代文物，其中狮子山楚王墓、北洞山楚王墓等出土的玉器、铜器、陶俑，不仅具有极高的艺术价值，也蕴含着丰富的数学原理。近年来，徐州市中考数学试卷多次以博物馆文物为背景命制尺规作图试题，例如2023年徐州中考以“雷纹玉环”考查“肉好若一”的比例作图，2025年徐州中考以“八连弧纹镜”考查等分圆周与弧的补全。这类试题体现了“让文物说话，让历史说话”的教育理念，引导学生在数学学习中感受家乡文化的魅力。</w:t>
      </w:r>
    </w:p>
    <w:p w14:paraId="15360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《义务教育数学课程标准（2022年版）》强调，数学课程应“继承和弘扬中华优秀传统文化”，引导学生“感受数学在现实世界的广泛应用，体会数学的价值”。尺规作图作为初中数学的核心内容，不仅考查学生的几何直观和逻辑推理能力，更是连接数学史、数学文化与现实应用的桥梁。因此，我选取徐州博物馆五类典型文物，系统研究其中蕴含的尺规作图问题，具有重要的文化育人价值和数学教育价值。</w:t>
      </w:r>
    </w:p>
    <w:p w14:paraId="46B3DDBD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三、研究意义</w:t>
      </w:r>
    </w:p>
    <w:p w14:paraId="252B8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文化育人价值：汉代是中国古代科技发展的高峰期。通过研究文物中的数学，我能切身感受古人的智慧，增强文化自信。</w:t>
      </w:r>
    </w:p>
    <w:p w14:paraId="687F7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数学教育价值：尺规作图是培养学生几何直观、逻辑推理和动手操作能力的重要载体。本课题将抽象的作图问题与具体的文物形态相结合，使我在“做数学”的过程中理解几何原理，体会数学的应用价值。</w:t>
      </w:r>
    </w:p>
    <w:p w14:paraId="14FC1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3. 课程资源价值：本课题的研究成果可为初中数学教学提供具有地方特色的课程资源，丰富综合与实践活动的素材，也为博物馆教育功能的发挥探索新路径。</w:t>
      </w:r>
    </w:p>
    <w:p w14:paraId="0C3B5A0C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四、研究目标</w:t>
      </w:r>
    </w:p>
    <w:p w14:paraId="4DCFB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挖掘徐州博物馆典型文物（玉璧玉环、连弧纹镜、陶俑阵列、玉龙佩、金带扣）中的数学元素，建立文物与数学知识的联系。</w:t>
      </w:r>
    </w:p>
    <w:p w14:paraId="6EA9F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探究用尺规再现文物几何特征的方法，形成规范的作图步骤和原理分析。</w:t>
      </w:r>
    </w:p>
    <w:p w14:paraId="1C8EA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3. 结合徐州中考尺规作图题的命题规律，设计具有代表性的作图问题，服务于初中数学教学。</w:t>
      </w:r>
    </w:p>
    <w:p w14:paraId="100F8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4. 通过课题研究，提升自身的几何直观能力、逻辑推理能力和动手操作能力，增强对家乡历史文化的认同感。</w:t>
      </w:r>
    </w:p>
    <w:p w14:paraId="1BC7A046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五、研究内容</w:t>
      </w:r>
    </w:p>
    <w:p w14:paraId="7C40C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我选取徐州博物馆五类典型文物进行系统研究：</w:t>
      </w:r>
    </w:p>
    <w:p w14:paraId="0F91C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玉璧玉环研究：重点探究“肉好若一”的比例关系，利用尺规作图判断玉环是否符合标准，以及将玉坯加工成标准玉璧的方法。</w:t>
      </w:r>
    </w:p>
    <w:p w14:paraId="5403E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连弧纹镜研究：重点探究等分圆周与弧的补全，包括判断弧数、补全残缺弧等作图问题。</w:t>
      </w:r>
    </w:p>
    <w:p w14:paraId="6E0CB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3. 陶俑阵列研究：重点探究黄金分割与矩形作图，包括作黄金分割点、作黄金矩形，以及检验陶俑阵列是否符合黄金矩形。</w:t>
      </w:r>
    </w:p>
    <w:p w14:paraId="33541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4. 玉龙佩研究：重点探究“S”形曲线的切线作图，包括过圆上一点作切线、过圆外一点作切线、作两圆弧的公切线，以及确定曲线控制点的方法。</w:t>
      </w:r>
    </w:p>
    <w:p w14:paraId="1E9EE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5. 金带扣研究：重点探究对称变换与等分作图，包括作轴对称点、补全对称图案、线段任意等分、作正五边形等。</w:t>
      </w:r>
    </w:p>
    <w:p w14:paraId="6306914D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六、研究方法</w:t>
      </w:r>
    </w:p>
    <w:p w14:paraId="0F3AF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文献研究法：查阅徐州博物馆文物图录、考古报告及相关数学史资料，了解文物的文化背景和几何特征。</w:t>
      </w:r>
    </w:p>
    <w:p w14:paraId="227E7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实地考察法：前往徐州博物馆，对重点文物进行观察、测量和拍照记录。</w:t>
      </w:r>
    </w:p>
    <w:p w14:paraId="0DE50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3. 数学抽象法：从文物的造型、纹饰中提取几何元素，建立数学模型。</w:t>
      </w:r>
    </w:p>
    <w:p w14:paraId="04E62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4. 作图实验法：运用尺规进行作图实践，验证作图的可行性和精确性。</w:t>
      </w:r>
    </w:p>
    <w:p w14:paraId="4FD24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5. 中考对接法：分析近年来徐州中考尺规作图题的命题规律，使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研究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问题贴近中考要求。</w:t>
      </w:r>
    </w:p>
    <w:p w14:paraId="16FF9E78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七、预期成果</w:t>
      </w:r>
    </w:p>
    <w:p w14:paraId="7CFBF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 形成完整的研究报告一份，系统阐述五类文物的数学原理和尺规作图方法。</w:t>
      </w:r>
    </w:p>
    <w:p w14:paraId="421C5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2. 整理出12个典型尺规作图问题，每个问题包含问题背景、作图步骤、原理分析，并注明与中考的对接点。</w:t>
      </w:r>
    </w:p>
    <w:p w14:paraId="0785F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. 撰写活动设计方案，为初中综合与实践课程的开展提供范例。</w:t>
      </w:r>
    </w:p>
    <w:p w14:paraId="3CB13FB0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八、研究计划（2026年2月9日—3月2日）</w:t>
      </w:r>
    </w:p>
    <w:p w14:paraId="4B68F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阶段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时间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主要任务</w:t>
      </w:r>
    </w:p>
    <w:p w14:paraId="1AB2C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准备阶段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2月9日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查阅文献，制定研究方案，确定研究文物</w:t>
      </w:r>
    </w:p>
    <w:p w14:paraId="486EC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实地考察阶段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2月10日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参观徐州博物馆，拍摄文物照片，记录数据</w:t>
      </w:r>
    </w:p>
    <w:p w14:paraId="011F5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探究阶段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2月11日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25日 对五类文物进行数学抽象和作图实验</w:t>
      </w:r>
    </w:p>
    <w:p w14:paraId="2D17E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整合阶段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2月26日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28日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汇总成果，撰写研究报告</w:t>
      </w:r>
    </w:p>
    <w:p w14:paraId="58AF7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5、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结题阶段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3月1日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2日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成果展示，撰写结题报告，制作课件</w:t>
      </w:r>
    </w:p>
    <w:p w14:paraId="0EA8478C">
      <w:pP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"/>
          <w:woUserID w:val="1"/>
        </w:rPr>
        <w:t>九、可行性分析</w:t>
      </w:r>
    </w:p>
    <w:p w14:paraId="58010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数据支撑：徐州博物馆提供高清影像与馆藏数据，文献充足；</w:t>
      </w:r>
    </w:p>
    <w:p w14:paraId="18E36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技术保障：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绘图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软件操作简便，设备易获取；</w:t>
      </w:r>
    </w:p>
    <w:p w14:paraId="304CB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实践条件：初三师生可参与题型测试，确保适配性；</w:t>
      </w:r>
    </w:p>
    <w:p w14:paraId="5570B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  <w:woUserID w:val="1"/>
        </w:rPr>
        <w:t>4、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个人能力：具备调研、测量、建模与题型设计能力，可独立完成。</w:t>
      </w:r>
    </w:p>
    <w:bookmarkEnd w:id="0"/>
    <w:p w14:paraId="77571DA8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74D61"/>
    <w:rsid w:val="053110E8"/>
    <w:rsid w:val="20974D61"/>
    <w:rsid w:val="241C3224"/>
    <w:rsid w:val="2A3745AD"/>
    <w:rsid w:val="3386409B"/>
    <w:rsid w:val="34D816C9"/>
    <w:rsid w:val="3CBB48B4"/>
    <w:rsid w:val="547B557B"/>
    <w:rsid w:val="71D6366B"/>
    <w:rsid w:val="74492EC7"/>
    <w:rsid w:val="75F7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1778</Words>
  <Characters>1819</Characters>
  <Lines>0</Lines>
  <Paragraphs>0</Paragraphs>
  <TotalTime>2</TotalTime>
  <ScaleCrop>false</ScaleCrop>
  <LinksUpToDate>false</LinksUpToDate>
  <CharactersWithSpaces>1971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2026-02-25T13:41:00Z</dcterms:created>
  <dc:creator>马娟</dc:creator>
  <cp:lastModifiedBy>马娟</cp:lastModifiedBy>
  <dcterms:modified xsi:type="dcterms:W3CDTF">2026-03-03T08:49:04Z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AC2F06DAA622434F80335C0AF6778722_11</vt:lpwstr>
  </property>
  <property fmtid="{D5CDD505-2E9C-101B-9397-08002B2CF9AE}" pid="4" name="KSOTemplateDocerSaveRecord">
    <vt:lpwstr>eyJoZGlkIjoiYmQzYzExMzIwNDgwYjU0MDZmMmY3OWI2YTNiZWQ4OWQiLCJ1c2VySWQiOiIxNjIyNzYwMTY2In0=</vt:lpwstr>
  </property>
</Properties>
</file>