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A36DC">
      <w:pPr>
        <w:pStyle w:val="2"/>
        <w:spacing w:before="0" w:after="0" w:line="461" w:lineRule="auto"/>
        <w:rPr>
          <w:rFonts w:ascii="黑体" w:hAnsi="黑体" w:eastAsia="黑体" w:cs="Times New Roman"/>
        </w:rPr>
      </w:pPr>
      <w:r>
        <w:rPr>
          <w:rFonts w:ascii="黑体" w:hAnsi="黑体" w:eastAsia="黑体" w:cs="Times New Roman"/>
          <w:sz w:val="32"/>
          <w:szCs w:val="32"/>
        </w:rPr>
        <w:t>中国和英联邦国家（英国、澳大利亚）中学生课程对比研究</w:t>
      </w:r>
    </w:p>
    <w:p w14:paraId="2EC77143">
      <w:pPr>
        <w:ind w:firstLine="0" w:firstLineChars="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周礼殊</w:t>
      </w:r>
    </w:p>
    <w:p w14:paraId="3450DAED">
      <w:pPr>
        <w:ind w:firstLine="0" w:firstLineChars="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（中国矿业大学附属中学八年级（1）班）</w:t>
      </w:r>
    </w:p>
    <w:p w14:paraId="46C6AE83">
      <w:pPr>
        <w:pStyle w:val="19"/>
        <w:spacing w:line="288" w:lineRule="auto"/>
        <w:ind w:firstLine="480"/>
        <w:rPr>
          <w:rFonts w:ascii="Times New Roman" w:hAnsi="Times New Roman" w:cs="Times New Roman"/>
        </w:rPr>
      </w:pPr>
      <w:r>
        <w:rPr>
          <w:rFonts w:ascii="Times New Roman" w:hAnsi="Times New Roman" w:cs="Times New Roman"/>
          <w:b/>
          <w:bCs/>
        </w:rPr>
        <w:t>摘要</w:t>
      </w:r>
      <w:r>
        <w:rPr>
          <w:rFonts w:ascii="Times New Roman" w:hAnsi="Times New Roman" w:cs="Times New Roman"/>
        </w:rPr>
        <w:t>：本文旨在系统对比分析中国和</w:t>
      </w:r>
      <w:r>
        <w:rPr>
          <w:rFonts w:hint="eastAsia" w:ascii="Times New Roman" w:hAnsi="Times New Roman" w:cs="Times New Roman"/>
        </w:rPr>
        <w:t>英联邦国家中学阶段课程体系的结构性差异</w:t>
      </w:r>
      <w:r>
        <w:rPr>
          <w:rFonts w:ascii="Times New Roman" w:hAnsi="Times New Roman" w:cs="Times New Roman"/>
        </w:rPr>
        <w:t>，为教育工作者、学生及家长</w:t>
      </w:r>
      <w:r>
        <w:rPr>
          <w:rFonts w:hint="eastAsia" w:ascii="Times New Roman" w:hAnsi="Times New Roman" w:cs="Times New Roman"/>
        </w:rPr>
        <w:t>的教育决策提供实证参考</w:t>
      </w:r>
      <w:r>
        <w:rPr>
          <w:rFonts w:ascii="Times New Roman" w:hAnsi="Times New Roman" w:cs="Times New Roman"/>
        </w:rPr>
        <w:t>。采用文献</w:t>
      </w:r>
      <w:r>
        <w:rPr>
          <w:rFonts w:hint="eastAsia" w:ascii="Times New Roman" w:hAnsi="Times New Roman" w:cs="Times New Roman"/>
        </w:rPr>
        <w:t>研究</w:t>
      </w:r>
      <w:r>
        <w:rPr>
          <w:rFonts w:ascii="Times New Roman" w:hAnsi="Times New Roman" w:cs="Times New Roman"/>
        </w:rPr>
        <w:t>法、对比分析法，</w:t>
      </w:r>
      <w:r>
        <w:rPr>
          <w:rFonts w:hint="eastAsia" w:ascii="Times New Roman" w:hAnsi="Times New Roman" w:cs="Times New Roman"/>
        </w:rPr>
        <w:t>研究课程设置、</w:t>
      </w:r>
      <w:r>
        <w:rPr>
          <w:rFonts w:ascii="Times New Roman" w:hAnsi="Times New Roman" w:cs="Times New Roman"/>
        </w:rPr>
        <w:t>学制结构、</w:t>
      </w:r>
      <w:r>
        <w:rPr>
          <w:rFonts w:hint="eastAsia" w:ascii="Times New Roman" w:hAnsi="Times New Roman" w:cs="Times New Roman"/>
        </w:rPr>
        <w:t>教学方式及评估体系等方面的差异。</w:t>
      </w:r>
      <w:r>
        <w:rPr>
          <w:rFonts w:ascii="Times New Roman" w:hAnsi="Times New Roman" w:cs="Times New Roman"/>
        </w:rPr>
        <w:t>研究发现，中英两国</w:t>
      </w:r>
      <w:r>
        <w:rPr>
          <w:rFonts w:hint="eastAsia" w:ascii="Times New Roman" w:hAnsi="Times New Roman" w:cs="Times New Roman"/>
        </w:rPr>
        <w:t>中学生课程体系映射了迥异的教育哲学，本文从文化传统与社会制度层面解析了差异生成的深层动因，并在此基础上提出，两国教育应在保持文化特色的前提下互鉴共进，研究结论可为我国基础教育课程改革中增强课程灵活性、完善过程性评价机制提供国际经验参照。</w:t>
      </w:r>
    </w:p>
    <w:p w14:paraId="13120678">
      <w:pPr>
        <w:pStyle w:val="3"/>
        <w:spacing w:before="260" w:after="260" w:line="336" w:lineRule="auto"/>
        <w:rPr>
          <w:rFonts w:ascii="Times New Roman" w:hAnsi="Times New Roman" w:eastAsia="黑体" w:cs="Times New Roman"/>
        </w:rPr>
      </w:pPr>
      <w:r>
        <w:rPr>
          <w:rFonts w:ascii="Times New Roman" w:hAnsi="Times New Roman" w:eastAsia="黑体" w:cs="Times New Roman"/>
        </w:rPr>
        <w:t>一、研究背景与意义</w:t>
      </w:r>
    </w:p>
    <w:p w14:paraId="5D6B46BF">
      <w:pPr>
        <w:rPr>
          <w:rFonts w:hint="eastAsia" w:ascii="Times New Roman" w:hAnsi="Times New Roman" w:eastAsia="宋体" w:cs="Times New Roman"/>
          <w:sz w:val="24"/>
          <w:szCs w:val="24"/>
        </w:rPr>
      </w:pPr>
      <w:r>
        <w:rPr>
          <w:rFonts w:ascii="Times New Roman" w:hAnsi="Times New Roman" w:eastAsia="宋体" w:cs="Times New Roman"/>
          <w:sz w:val="24"/>
          <w:szCs w:val="24"/>
        </w:rPr>
        <w:t>在全球教育深度互鉴与协同发展的时代背景下，课程作为教育理念的实践载体与育人系统的核心枢纽，日益成为跨国比较研究的重要切入点。中国与英国分属东亚儒学传统与欧洲启蒙传统两大教育谱系，其</w:t>
      </w:r>
      <w:r>
        <w:rPr>
          <w:rFonts w:hint="eastAsia" w:ascii="Times New Roman" w:hAnsi="Times New Roman" w:eastAsia="宋体" w:cs="Times New Roman"/>
          <w:sz w:val="24"/>
          <w:szCs w:val="24"/>
        </w:rPr>
        <w:t>中学</w:t>
      </w:r>
      <w:r>
        <w:rPr>
          <w:rFonts w:ascii="Times New Roman" w:hAnsi="Times New Roman" w:eastAsia="宋体" w:cs="Times New Roman"/>
          <w:sz w:val="24"/>
          <w:szCs w:val="24"/>
        </w:rPr>
        <w:t>阶段课程结构差异显著：中国实行国家统一课程标准下的基础拓展模式，强调学科系统性与学业基础的夯实；英国则依托《国家课程》（National Curriculum）框架，赋予学校与教师较大自主权，突出跨学科主题学习、个性化学习路径与批判性思维培养。</w:t>
      </w:r>
      <w:r>
        <w:rPr>
          <w:rFonts w:hint="eastAsia" w:ascii="Times New Roman" w:hAnsi="Times New Roman" w:eastAsia="宋体" w:cs="Times New Roman"/>
          <w:sz w:val="24"/>
          <w:szCs w:val="24"/>
        </w:rPr>
        <w:t>这种</w:t>
      </w:r>
      <w:r>
        <w:rPr>
          <w:rFonts w:ascii="Times New Roman" w:hAnsi="Times New Roman" w:eastAsia="宋体" w:cs="Times New Roman"/>
          <w:sz w:val="24"/>
          <w:szCs w:val="24"/>
        </w:rPr>
        <w:t>结构性</w:t>
      </w:r>
      <w:r>
        <w:rPr>
          <w:rFonts w:hint="eastAsia" w:ascii="Times New Roman" w:hAnsi="Times New Roman" w:eastAsia="宋体" w:cs="Times New Roman"/>
          <w:sz w:val="24"/>
          <w:szCs w:val="24"/>
        </w:rPr>
        <w:t>差异不仅反映了两国在教育</w:t>
      </w:r>
      <w:r>
        <w:rPr>
          <w:rFonts w:ascii="Times New Roman" w:hAnsi="Times New Roman" w:eastAsia="宋体" w:cs="Times New Roman"/>
          <w:sz w:val="24"/>
          <w:szCs w:val="24"/>
        </w:rPr>
        <w:t>哲学</w:t>
      </w:r>
      <w:r>
        <w:rPr>
          <w:rFonts w:hint="eastAsia" w:ascii="Times New Roman" w:hAnsi="Times New Roman" w:eastAsia="宋体" w:cs="Times New Roman"/>
          <w:sz w:val="24"/>
          <w:szCs w:val="24"/>
        </w:rPr>
        <w:t>和学生培养目标上的不同，也是我们理解两国教育理念的关键。</w:t>
      </w:r>
    </w:p>
    <w:p w14:paraId="6037DB5C">
      <w:pPr>
        <w:ind w:firstLine="420"/>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drawing>
          <wp:inline distT="0" distB="0" distL="114300" distR="114300">
            <wp:extent cx="4319905" cy="1941195"/>
            <wp:effectExtent l="0" t="0" r="4445" b="1905"/>
            <wp:docPr id="2" name="图片 2" descr="Gemini_Generated_Image_ox00r0ox00r0ox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Gemini_Generated_Image_ox00r0ox00r0ox00"/>
                    <pic:cNvPicPr>
                      <a:picLocks noChangeAspect="1"/>
                    </pic:cNvPicPr>
                  </pic:nvPicPr>
                  <pic:blipFill>
                    <a:blip r:embed="rId12"/>
                    <a:srcRect l="3812" t="16137" r="3812" b="7763"/>
                    <a:stretch>
                      <a:fillRect/>
                    </a:stretch>
                  </pic:blipFill>
                  <pic:spPr>
                    <a:xfrm>
                      <a:off x="0" y="0"/>
                      <a:ext cx="4319905" cy="1941195"/>
                    </a:xfrm>
                    <a:prstGeom prst="rect">
                      <a:avLst/>
                    </a:prstGeom>
                  </pic:spPr>
                </pic:pic>
              </a:graphicData>
            </a:graphic>
          </wp:inline>
        </w:drawing>
      </w:r>
    </w:p>
    <w:p w14:paraId="75BCB283">
      <w:pPr>
        <w:ind w:firstLine="420"/>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图</w:t>
      </w:r>
      <w:r>
        <w:rPr>
          <w:rFonts w:ascii="Times New Roman" w:hAnsi="Times New Roman" w:eastAsia="宋体" w:cs="Times New Roman"/>
          <w:szCs w:val="21"/>
        </w:rPr>
        <w:t>1 英国与中国中学体系课程设置对比</w:t>
      </w:r>
    </w:p>
    <w:p w14:paraId="216CD350">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本研究以课程表为微观分析单元，聚焦课程门类构成、课时分配逻辑、学科融合机制及隐性课程安排四个维度，开展实证性比较研究。中学体系课程设置对比如</w:t>
      </w:r>
      <w:r>
        <w:rPr>
          <w:rFonts w:hint="eastAsia" w:ascii="Times New Roman" w:hAnsi="Times New Roman" w:eastAsia="宋体" w:cs="Times New Roman"/>
          <w:sz w:val="24"/>
          <w:szCs w:val="24"/>
          <w:lang w:val="en-US" w:eastAsia="zh-CN"/>
        </w:rPr>
        <w:t>图</w:t>
      </w:r>
      <w:r>
        <w:rPr>
          <w:rFonts w:hint="eastAsia" w:ascii="Times New Roman" w:hAnsi="Times New Roman" w:eastAsia="宋体" w:cs="Times New Roman"/>
          <w:sz w:val="24"/>
          <w:szCs w:val="24"/>
        </w:rPr>
        <w:t>1所示。研究的理论意义在于突破既有研究偏重制度描述的宏观叙事局限，通过课程文本的量化统计与质性深描，揭示文化传统、社会需求与教育政策三重张力下课程体系的生成逻辑与运作机制，从而拓展比较教育学的分析范式。</w:t>
      </w:r>
    </w:p>
    <w:p w14:paraId="3A689EC3">
      <w:pPr>
        <w:spacing w:before="120" w:beforeLines="50"/>
        <w:rPr>
          <w:rFonts w:ascii="Times New Roman" w:hAnsi="Times New Roman" w:eastAsia="宋体" w:cs="Times New Roman"/>
          <w:sz w:val="24"/>
          <w:szCs w:val="24"/>
        </w:rPr>
      </w:pPr>
      <w:r>
        <w:rPr>
          <w:rFonts w:hint="eastAsia" w:ascii="Times New Roman" w:hAnsi="Times New Roman" w:eastAsia="宋体" w:cs="Times New Roman"/>
          <w:sz w:val="24"/>
          <w:szCs w:val="24"/>
        </w:rPr>
        <w:t>本研究的实践价值体现于三重面向：其一，为我国初中课程改革提供靶向参照——借鉴英国科学课程中嵌入工程实践、人文课程中强化史料辨析的设计策略，补强探究能力与高阶思维培养的结构性短板；其二，助力教育决策科学化，为"双减"背景下课时弹性配置、综合实践活动课程纵深推进及劳动教育校本化实施提供国际经验锚点；其三，推动中英基础教育务实合作，通过课程互认、师资共研、资源共建等机制，实质性提升教育对外开放的层次与能级。</w:t>
      </w:r>
    </w:p>
    <w:p w14:paraId="194C7F02">
      <w:pPr>
        <w:spacing w:before="120" w:beforeLines="5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本研究亦为家长与学生</w:t>
      </w:r>
      <w:r>
        <w:rPr>
          <w:rFonts w:ascii="Times New Roman" w:hAnsi="Times New Roman" w:eastAsia="宋体" w:cs="Times New Roman"/>
          <w:sz w:val="24"/>
          <w:szCs w:val="24"/>
        </w:rPr>
        <w:t>理性规划升学路径</w:t>
      </w:r>
      <w:r>
        <w:rPr>
          <w:rFonts w:hint="eastAsia" w:ascii="Times New Roman" w:hAnsi="Times New Roman" w:eastAsia="宋体" w:cs="Times New Roman"/>
          <w:sz w:val="24"/>
          <w:szCs w:val="24"/>
        </w:rPr>
        <w:t>等教育决策提供循证依据，推动教育选择从经验直觉向证据理性转型，切实服务于拔尖创新人才早期识别培养与终身发展能力奠基。</w:t>
      </w:r>
    </w:p>
    <w:p w14:paraId="4398DAA9">
      <w:pPr>
        <w:pStyle w:val="3"/>
        <w:spacing w:before="260" w:after="260" w:line="336" w:lineRule="auto"/>
        <w:rPr>
          <w:rFonts w:ascii="Times New Roman" w:hAnsi="Times New Roman" w:cs="Times New Roman"/>
        </w:rPr>
      </w:pPr>
      <w:r>
        <w:rPr>
          <w:rFonts w:ascii="Times New Roman" w:hAnsi="Times New Roman" w:eastAsia="黑体" w:cs="Times New Roman"/>
        </w:rPr>
        <w:t>二、中国和英国</w:t>
      </w:r>
      <w:r>
        <w:rPr>
          <w:rFonts w:hint="eastAsia" w:ascii="Times New Roman" w:hAnsi="Times New Roman" w:eastAsia="黑体" w:cs="Times New Roman"/>
        </w:rPr>
        <w:t>中学</w:t>
      </w:r>
      <w:r>
        <w:rPr>
          <w:rFonts w:ascii="Times New Roman" w:hAnsi="Times New Roman" w:eastAsia="黑体" w:cs="Times New Roman"/>
        </w:rPr>
        <w:t>教育体系概述</w:t>
      </w:r>
    </w:p>
    <w:p w14:paraId="5A096560">
      <w:pPr>
        <w:pStyle w:val="4"/>
        <w:spacing w:before="260" w:after="260" w:line="336" w:lineRule="auto"/>
        <w:rPr>
          <w:rFonts w:ascii="Times New Roman" w:hAnsi="Times New Roman" w:cs="Times New Roman"/>
        </w:rPr>
      </w:pPr>
      <w:r>
        <w:rPr>
          <w:rFonts w:ascii="Times New Roman" w:hAnsi="Times New Roman" w:cs="Times New Roman"/>
        </w:rPr>
        <w:t>2.1中国</w:t>
      </w:r>
      <w:r>
        <w:rPr>
          <w:rFonts w:hint="eastAsia" w:ascii="Times New Roman" w:hAnsi="Times New Roman" w:eastAsia="黑体" w:cs="Times New Roman"/>
        </w:rPr>
        <w:t>中学</w:t>
      </w:r>
      <w:r>
        <w:rPr>
          <w:rFonts w:ascii="Times New Roman" w:hAnsi="Times New Roman" w:cs="Times New Roman"/>
        </w:rPr>
        <w:t>教育体系</w:t>
      </w:r>
    </w:p>
    <w:p w14:paraId="718D18B4">
      <w:pPr>
        <w:rPr>
          <w:rFonts w:ascii="Times New Roman" w:hAnsi="Times New Roman" w:eastAsia="宋体" w:cs="Times New Roman"/>
          <w:sz w:val="24"/>
          <w:szCs w:val="24"/>
        </w:rPr>
      </w:pPr>
      <w:r>
        <w:rPr>
          <w:rFonts w:ascii="Times New Roman" w:hAnsi="Times New Roman" w:eastAsia="宋体" w:cs="Times New Roman"/>
          <w:sz w:val="24"/>
          <w:szCs w:val="24"/>
        </w:rPr>
        <w:t>中国初中教育阶段为初一至初三，学制三年。学生通常于12岁进入初中。初中毕业时需参加统一的初中学业水平考试（简称</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中考</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），中考成绩是学生升入高中的决定性依据。</w:t>
      </w:r>
    </w:p>
    <w:p w14:paraId="1FFCBE8A">
      <w:pPr>
        <w:rPr>
          <w:rFonts w:ascii="Times New Roman" w:hAnsi="Times New Roman" w:eastAsia="宋体" w:cs="Times New Roman"/>
          <w:sz w:val="24"/>
          <w:szCs w:val="24"/>
        </w:rPr>
      </w:pPr>
      <w:r>
        <w:rPr>
          <w:rFonts w:ascii="Times New Roman" w:hAnsi="Times New Roman" w:eastAsia="宋体" w:cs="Times New Roman"/>
          <w:sz w:val="24"/>
          <w:szCs w:val="24"/>
        </w:rPr>
        <w:t>在课程设置方面，初中阶段实行国家统一课程，包含语文、数学、英语、物理、化学、生物、道德与法治、历史、地理等核心学科，同时设有体育、艺术、劳动等素质类课程。但在实际教学中，受传统升学导向（中考及最终的高考）影响，核心考试科目往往占据最多的教学时间和教育资源。</w:t>
      </w:r>
    </w:p>
    <w:p w14:paraId="3BC8D862">
      <w:pPr>
        <w:rPr>
          <w:rFonts w:ascii="Times New Roman" w:hAnsi="Times New Roman" w:eastAsia="宋体" w:cs="Times New Roman"/>
          <w:sz w:val="24"/>
          <w:szCs w:val="24"/>
        </w:rPr>
      </w:pPr>
      <w:r>
        <w:rPr>
          <w:rFonts w:ascii="Times New Roman" w:hAnsi="Times New Roman" w:eastAsia="宋体" w:cs="Times New Roman"/>
          <w:sz w:val="24"/>
          <w:szCs w:val="24"/>
        </w:rPr>
        <w:t>在教学与评估方式上，中国初中主要以教师讲授为主，强调知识的系统梳理、记忆与应试技能的培养。课堂上，教师重点讲解知识要点与概念原理，并通过大量例题示范解题方法；学生则以听讲、记笔记、做练习为主要学习途径。课堂互动多以教师提问、学生作答的形式展开，班级通常采用大班制（约40~50人）以进行标准化教学。在此模式下，学生的课外活动时间相对有限，常常让位于学业复习，且多以学科竞赛或培优为主。评估体系高度依赖终结性考试成绩，尤其是中考的分数；平时成绩与综合素质评价虽纳入考量，但实际占比较小。考试形式多为闭卷笔试，重点考查学生对基础知识的掌握、理解和应用能力，题型标准化程度高。</w:t>
      </w:r>
    </w:p>
    <w:p w14:paraId="47A8A866">
      <w:pPr>
        <w:pStyle w:val="4"/>
        <w:spacing w:before="260" w:after="260" w:line="336" w:lineRule="auto"/>
        <w:rPr>
          <w:rFonts w:ascii="Times New Roman" w:hAnsi="Times New Roman" w:cs="Times New Roman"/>
        </w:rPr>
      </w:pPr>
      <w:r>
        <w:rPr>
          <w:rFonts w:ascii="Times New Roman" w:hAnsi="Times New Roman" w:cs="Times New Roman"/>
        </w:rPr>
        <w:t>2.2英国</w:t>
      </w:r>
      <w:r>
        <w:rPr>
          <w:rFonts w:hint="eastAsia" w:ascii="Times New Roman" w:hAnsi="Times New Roman" w:eastAsia="黑体" w:cs="Times New Roman"/>
        </w:rPr>
        <w:t>中学</w:t>
      </w:r>
      <w:r>
        <w:rPr>
          <w:rFonts w:ascii="Times New Roman" w:hAnsi="Times New Roman" w:cs="Times New Roman"/>
        </w:rPr>
        <w:t>教育体系</w:t>
      </w:r>
    </w:p>
    <w:p w14:paraId="62BF06B6">
      <w:pPr>
        <w:rPr>
          <w:rFonts w:ascii="Times New Roman" w:hAnsi="Times New Roman" w:eastAsia="宋体" w:cs="Times New Roman"/>
          <w:sz w:val="24"/>
          <w:szCs w:val="24"/>
        </w:rPr>
      </w:pPr>
      <w:r>
        <w:rPr>
          <w:rFonts w:ascii="Times New Roman" w:hAnsi="Times New Roman" w:eastAsia="宋体" w:cs="Times New Roman"/>
          <w:sz w:val="24"/>
          <w:szCs w:val="24"/>
        </w:rPr>
        <w:t>英国的初中阶段通常指Year 7至Year 11（学生年龄为11~16岁），对应英国教育体系中的Key Stage 3至Key Stage 4。在Year 11结束时，学生需统一参加GCSE（普通中等教育证书）考试。</w:t>
      </w:r>
    </w:p>
    <w:p w14:paraId="68D8ED6D">
      <w:pPr>
        <w:rPr>
          <w:rFonts w:ascii="Times New Roman" w:hAnsi="Times New Roman" w:eastAsia="宋体" w:cs="Times New Roman"/>
          <w:sz w:val="24"/>
          <w:szCs w:val="24"/>
        </w:rPr>
      </w:pPr>
      <w:r>
        <w:rPr>
          <w:rFonts w:ascii="Times New Roman" w:hAnsi="Times New Roman" w:eastAsia="宋体" w:cs="Times New Roman"/>
          <w:sz w:val="24"/>
          <w:szCs w:val="24"/>
        </w:rPr>
        <w:t>在义务教育阶段，课程体系相对灵活多样，学生需学习包括英语、数学、科学、设计与技术、信息与通信技术、历史、地理、现代外语、艺术与设计、音乐、体育、公民教育等在内的国家课程。随着年级的升高，学生享有一定的选课自主权。</w:t>
      </w:r>
    </w:p>
    <w:p w14:paraId="48302960">
      <w:pPr>
        <w:rPr>
          <w:rFonts w:ascii="Times New Roman" w:hAnsi="Times New Roman" w:eastAsia="宋体" w:cs="Times New Roman"/>
          <w:sz w:val="24"/>
          <w:szCs w:val="24"/>
        </w:rPr>
      </w:pPr>
      <w:r>
        <w:rPr>
          <w:rFonts w:ascii="Times New Roman" w:hAnsi="Times New Roman" w:eastAsia="宋体" w:cs="Times New Roman"/>
          <w:sz w:val="24"/>
          <w:szCs w:val="24"/>
        </w:rPr>
        <w:t>在教学与评估方式上，英国中学注重讨论、实践与批判性思维的培养，普遍采用小班化教学（约15~20人），给予学生较高的个性化关注。教师通常会设定学习主题或探究问题，引导学生通过查阅资料、小组协作、项目研究等方式自主探索答案。课堂氛围较为活跃，鼓励学生各抒己见，教师更多扮演引导者和启发者的角色。此外，课外活动（如体育、艺术、社团等）被视为教育的重要组成部分。评估方式采用多元化，以GCSE为例，成绩采用1~9级评分制（9分为最高），课程作业（占比约20%~60%，不同科目有所差异）和期末考试（占比40%~80%）共同构成成绩，课程作业形式多样，包括论文、实验报告、小组项目、口头演讲等，全面考查学生的学习过程、实践能力、团队协作能力以及批判性思维。期末考试题型也较为灵活，除传统笔试外，部分科目还有口试等形式。</w:t>
      </w:r>
    </w:p>
    <w:p w14:paraId="277C758E">
      <w:pPr>
        <w:pStyle w:val="3"/>
        <w:spacing w:before="260" w:after="260" w:line="336" w:lineRule="auto"/>
        <w:rPr>
          <w:rFonts w:ascii="Times New Roman" w:hAnsi="Times New Roman" w:cs="Times New Roman"/>
        </w:rPr>
      </w:pPr>
      <w:r>
        <w:rPr>
          <w:rFonts w:ascii="Times New Roman" w:hAnsi="Times New Roman" w:eastAsia="黑体" w:cs="Times New Roman"/>
        </w:rPr>
        <w:t>三、中国和英国</w:t>
      </w:r>
      <w:r>
        <w:rPr>
          <w:rFonts w:hint="eastAsia" w:ascii="Times New Roman" w:hAnsi="Times New Roman" w:eastAsia="黑体" w:cs="Times New Roman"/>
        </w:rPr>
        <w:t>中学生</w:t>
      </w:r>
      <w:r>
        <w:rPr>
          <w:rFonts w:ascii="Times New Roman" w:hAnsi="Times New Roman" w:eastAsia="黑体" w:cs="Times New Roman"/>
        </w:rPr>
        <w:t>课程表对比分析</w:t>
      </w:r>
    </w:p>
    <w:p w14:paraId="6CB6856D">
      <w:pPr>
        <w:pStyle w:val="4"/>
        <w:spacing w:before="260" w:after="260" w:line="336" w:lineRule="auto"/>
        <w:rPr>
          <w:rFonts w:ascii="Times New Roman" w:hAnsi="Times New Roman" w:cs="Times New Roman"/>
        </w:rPr>
      </w:pPr>
      <w:r>
        <w:rPr>
          <w:rFonts w:ascii="Times New Roman" w:hAnsi="Times New Roman" w:cs="Times New Roman"/>
        </w:rPr>
        <w:t>3.1学制结构对比</w:t>
      </w:r>
    </w:p>
    <w:p w14:paraId="2EC7ABA6">
      <w:pPr>
        <w:rPr>
          <w:rFonts w:hint="eastAsia" w:ascii="Times New Roman" w:hAnsi="Times New Roman" w:eastAsia="宋体" w:cs="Times New Roman"/>
          <w:szCs w:val="21"/>
        </w:rPr>
      </w:pPr>
      <w:r>
        <w:rPr>
          <w:rFonts w:ascii="Times New Roman" w:hAnsi="Times New Roman" w:eastAsia="宋体" w:cs="Times New Roman"/>
          <w:sz w:val="24"/>
          <w:szCs w:val="24"/>
        </w:rPr>
        <w:t>英国学生进入中学的年龄</w:t>
      </w:r>
      <w:r>
        <w:rPr>
          <w:rFonts w:hint="eastAsia" w:ascii="Times New Roman" w:hAnsi="Times New Roman" w:eastAsia="宋体" w:cs="Times New Roman"/>
          <w:sz w:val="24"/>
          <w:szCs w:val="24"/>
        </w:rPr>
        <w:t>普遍</w:t>
      </w:r>
      <w:r>
        <w:rPr>
          <w:rFonts w:ascii="Times New Roman" w:hAnsi="Times New Roman" w:eastAsia="宋体" w:cs="Times New Roman"/>
          <w:sz w:val="24"/>
          <w:szCs w:val="24"/>
        </w:rPr>
        <w:t>比中国学生早一年。英国初中阶段跨度为5年，而中国为3年。毕业考试方面，两国都有初中和高中阶段的重要考试，但考试名称和形式有所不同。英国的GCSE考试涵盖广泛学科，成绩分级，而中国的中考科目固定，更侧重于基础知识的考查。</w:t>
      </w:r>
      <w:r>
        <w:rPr>
          <w:rFonts w:hint="eastAsia" w:ascii="Times New Roman" w:hAnsi="Times New Roman" w:eastAsia="宋体" w:cs="Times New Roman"/>
          <w:sz w:val="24"/>
          <w:szCs w:val="24"/>
        </w:rPr>
        <w:t>英国与中国学制结构对比如表</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所示。</w:t>
      </w:r>
    </w:p>
    <w:p w14:paraId="7A331F02">
      <w:pPr>
        <w:ind w:firstLine="420"/>
        <w:jc w:val="center"/>
        <w:rPr>
          <w:rFonts w:hint="eastAsia" w:ascii="Times New Roman" w:hAnsi="Times New Roman" w:eastAsia="宋体" w:cs="Times New Roman"/>
          <w:szCs w:val="21"/>
        </w:rPr>
      </w:pPr>
      <w:r>
        <w:rPr>
          <w:rFonts w:ascii="Times New Roman" w:hAnsi="Times New Roman" w:eastAsia="宋体" w:cs="Times New Roman"/>
          <w:szCs w:val="21"/>
        </w:rPr>
        <w:t>表</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 xml:space="preserve"> 英国与中国</w:t>
      </w:r>
      <w:r>
        <w:rPr>
          <w:rFonts w:hint="eastAsia" w:ascii="Times New Roman" w:hAnsi="Times New Roman" w:eastAsia="宋体" w:cs="Times New Roman"/>
          <w:szCs w:val="21"/>
        </w:rPr>
        <w:t>学制结构</w:t>
      </w:r>
      <w:r>
        <w:rPr>
          <w:rFonts w:ascii="Times New Roman" w:hAnsi="Times New Roman" w:eastAsia="宋体" w:cs="Times New Roman"/>
          <w:szCs w:val="21"/>
        </w:rPr>
        <w:t>对比</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44"/>
        <w:gridCol w:w="5268"/>
        <w:gridCol w:w="3134"/>
      </w:tblGrid>
      <w:tr w14:paraId="0209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rPr>
        <w:tc>
          <w:tcPr>
            <w:tcW w:w="0" w:type="auto"/>
            <w:tcBorders>
              <w:top w:val="single" w:color="000000" w:sz="12" w:space="0"/>
              <w:left w:val="nil"/>
              <w:bottom w:val="single" w:color="000000" w:sz="4" w:space="0"/>
              <w:right w:val="nil"/>
              <w:tl2br w:val="nil"/>
            </w:tcBorders>
            <w:shd w:val="clear" w:color="auto" w:fill="FFFFFF"/>
            <w:vAlign w:val="center"/>
          </w:tcPr>
          <w:p w14:paraId="31299352">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维度</w:t>
            </w:r>
          </w:p>
        </w:tc>
        <w:tc>
          <w:tcPr>
            <w:tcW w:w="0" w:type="auto"/>
            <w:tcBorders>
              <w:top w:val="single" w:color="000000" w:sz="12" w:space="0"/>
              <w:left w:val="nil"/>
              <w:bottom w:val="single" w:color="000000" w:sz="4" w:space="0"/>
              <w:right w:val="nil"/>
            </w:tcBorders>
            <w:shd w:val="clear" w:color="auto" w:fill="FFFFFF"/>
            <w:vAlign w:val="center"/>
          </w:tcPr>
          <w:p w14:paraId="230579D9">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英国中学体系</w:t>
            </w:r>
          </w:p>
        </w:tc>
        <w:tc>
          <w:tcPr>
            <w:tcW w:w="0" w:type="auto"/>
            <w:tcBorders>
              <w:top w:val="single" w:color="000000" w:sz="12" w:space="0"/>
              <w:left w:val="nil"/>
              <w:bottom w:val="single" w:color="000000" w:sz="4" w:space="0"/>
              <w:right w:val="nil"/>
            </w:tcBorders>
            <w:shd w:val="clear" w:color="auto" w:fill="FFFFFF"/>
            <w:vAlign w:val="center"/>
          </w:tcPr>
          <w:p w14:paraId="24203122">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中国中学体系</w:t>
            </w:r>
          </w:p>
        </w:tc>
      </w:tr>
      <w:tr w14:paraId="1965E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rPr>
        <w:tc>
          <w:tcPr>
            <w:tcW w:w="0" w:type="auto"/>
            <w:tcBorders>
              <w:top w:val="single" w:color="000000" w:sz="4" w:space="0"/>
              <w:left w:val="nil"/>
              <w:bottom w:val="nil"/>
              <w:right w:val="nil"/>
            </w:tcBorders>
            <w:shd w:val="clear" w:color="auto" w:fill="FFFFFF"/>
            <w:vAlign w:val="center"/>
          </w:tcPr>
          <w:p w14:paraId="45838B53">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学段划分</w:t>
            </w:r>
          </w:p>
        </w:tc>
        <w:tc>
          <w:tcPr>
            <w:tcW w:w="0" w:type="auto"/>
            <w:tcBorders>
              <w:top w:val="single" w:color="000000" w:sz="4" w:space="0"/>
              <w:left w:val="nil"/>
              <w:bottom w:val="nil"/>
              <w:right w:val="nil"/>
            </w:tcBorders>
            <w:shd w:val="clear" w:color="auto" w:fill="FFFFFF"/>
            <w:vAlign w:val="center"/>
          </w:tcPr>
          <w:p w14:paraId="3D71FB2A">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初中阶段：Year 7~11（11~16岁），对应Key Stage 3~4；</w:t>
            </w:r>
          </w:p>
          <w:p w14:paraId="6284D07C">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高中阶段：Year 12~13（16~18 岁），称为“Sixth Form”，学习A~Level 或 IB 课程</w:t>
            </w:r>
          </w:p>
        </w:tc>
        <w:tc>
          <w:tcPr>
            <w:tcW w:w="0" w:type="auto"/>
            <w:tcBorders>
              <w:top w:val="single" w:color="000000" w:sz="4" w:space="0"/>
              <w:left w:val="nil"/>
              <w:bottom w:val="nil"/>
              <w:right w:val="nil"/>
            </w:tcBorders>
            <w:shd w:val="clear" w:color="auto" w:fill="FFFFFF"/>
            <w:vAlign w:val="center"/>
          </w:tcPr>
          <w:p w14:paraId="1C3F1405">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初中阶段：初一至初三（12~15岁），共3年；</w:t>
            </w:r>
          </w:p>
          <w:p w14:paraId="3AEFB7AB">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高中阶段：高一至高三（15~18岁），共3年</w:t>
            </w:r>
          </w:p>
        </w:tc>
      </w:tr>
      <w:tr w14:paraId="01DFE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rPr>
        <w:tc>
          <w:tcPr>
            <w:tcW w:w="0" w:type="auto"/>
            <w:tcBorders>
              <w:top w:val="nil"/>
              <w:left w:val="nil"/>
              <w:bottom w:val="nil"/>
              <w:right w:val="nil"/>
            </w:tcBorders>
            <w:shd w:val="clear" w:color="auto" w:fill="FFFFFF"/>
            <w:vAlign w:val="center"/>
          </w:tcPr>
          <w:p w14:paraId="75B2E736">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入学年龄</w:t>
            </w:r>
          </w:p>
        </w:tc>
        <w:tc>
          <w:tcPr>
            <w:tcW w:w="0" w:type="auto"/>
            <w:tcBorders>
              <w:top w:val="nil"/>
              <w:left w:val="nil"/>
              <w:bottom w:val="nil"/>
              <w:right w:val="nil"/>
            </w:tcBorders>
            <w:shd w:val="clear" w:color="auto" w:fill="FFFFFF"/>
            <w:vAlign w:val="center"/>
          </w:tcPr>
          <w:p w14:paraId="6B5CF914">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11 岁进入中学（Year 7）</w:t>
            </w:r>
          </w:p>
        </w:tc>
        <w:tc>
          <w:tcPr>
            <w:tcW w:w="0" w:type="auto"/>
            <w:tcBorders>
              <w:top w:val="nil"/>
              <w:left w:val="nil"/>
              <w:bottom w:val="nil"/>
              <w:right w:val="nil"/>
            </w:tcBorders>
            <w:shd w:val="clear" w:color="auto" w:fill="FFFFFF"/>
            <w:vAlign w:val="center"/>
          </w:tcPr>
          <w:p w14:paraId="68CC54D9">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12 岁进入初中（初一）</w:t>
            </w:r>
          </w:p>
        </w:tc>
      </w:tr>
      <w:tr w14:paraId="5B3C9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rPr>
        <w:tc>
          <w:tcPr>
            <w:tcW w:w="0" w:type="auto"/>
            <w:tcBorders>
              <w:top w:val="nil"/>
              <w:left w:val="nil"/>
              <w:bottom w:val="single" w:color="000000" w:sz="12" w:space="0"/>
              <w:right w:val="nil"/>
            </w:tcBorders>
            <w:shd w:val="clear" w:color="auto" w:fill="FFFFFF"/>
            <w:vAlign w:val="center"/>
          </w:tcPr>
          <w:p w14:paraId="05D0E91B">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毕业考试</w:t>
            </w:r>
          </w:p>
        </w:tc>
        <w:tc>
          <w:tcPr>
            <w:tcW w:w="0" w:type="auto"/>
            <w:tcBorders>
              <w:top w:val="nil"/>
              <w:left w:val="nil"/>
              <w:bottom w:val="single" w:color="000000" w:sz="12" w:space="0"/>
              <w:right w:val="nil"/>
            </w:tcBorders>
            <w:shd w:val="clear" w:color="auto" w:fill="FFFFFF"/>
            <w:vAlign w:val="center"/>
          </w:tcPr>
          <w:p w14:paraId="6C5F082B">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GCSE（Year 11 结束时）；</w:t>
            </w:r>
          </w:p>
          <w:p w14:paraId="3A8B7645">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A~Level/IB（Year 13 结束时）</w:t>
            </w:r>
          </w:p>
        </w:tc>
        <w:tc>
          <w:tcPr>
            <w:tcW w:w="0" w:type="auto"/>
            <w:tcBorders>
              <w:top w:val="nil"/>
              <w:left w:val="nil"/>
              <w:bottom w:val="single" w:color="000000" w:sz="12" w:space="0"/>
              <w:right w:val="nil"/>
            </w:tcBorders>
            <w:shd w:val="clear" w:color="auto" w:fill="FFFFFF"/>
            <w:vAlign w:val="center"/>
          </w:tcPr>
          <w:p w14:paraId="5577894A">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中考（初中毕业时）；</w:t>
            </w:r>
          </w:p>
          <w:p w14:paraId="13450E26">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高考（高中毕业时）</w:t>
            </w:r>
          </w:p>
        </w:tc>
      </w:tr>
    </w:tbl>
    <w:p w14:paraId="38A4B25F">
      <w:pPr>
        <w:pStyle w:val="4"/>
        <w:spacing w:before="260" w:after="260" w:line="336" w:lineRule="auto"/>
        <w:rPr>
          <w:rFonts w:ascii="Times New Roman" w:hAnsi="Times New Roman" w:cs="Times New Roman"/>
        </w:rPr>
      </w:pPr>
      <w:r>
        <w:rPr>
          <w:rFonts w:ascii="Times New Roman" w:hAnsi="Times New Roman" w:cs="Times New Roman"/>
        </w:rPr>
        <w:t>3.2课程设置对比</w:t>
      </w:r>
    </w:p>
    <w:p w14:paraId="215BAF6B">
      <w:pPr>
        <w:pStyle w:val="5"/>
        <w:spacing w:before="280" w:after="290" w:line="297" w:lineRule="auto"/>
        <w:rPr>
          <w:rFonts w:ascii="Times New Roman" w:hAnsi="Times New Roman" w:eastAsia="宋体" w:cs="Times New Roman"/>
        </w:rPr>
      </w:pPr>
      <w:r>
        <w:rPr>
          <w:rFonts w:ascii="Times New Roman" w:hAnsi="Times New Roman" w:eastAsia="宋体" w:cs="Times New Roman"/>
        </w:rPr>
        <w:t>3.2.1课程广度</w:t>
      </w:r>
    </w:p>
    <w:p w14:paraId="48DBEFC4">
      <w:pPr>
        <w:spacing w:before="120" w:beforeLines="50"/>
        <w:rPr>
          <w:rFonts w:hint="eastAsia" w:ascii="Times New Roman" w:hAnsi="Times New Roman" w:eastAsia="宋体" w:cs="Times New Roman"/>
          <w:sz w:val="24"/>
          <w:szCs w:val="24"/>
        </w:rPr>
      </w:pPr>
      <w:r>
        <w:rPr>
          <w:rFonts w:ascii="Times New Roman" w:hAnsi="Times New Roman" w:eastAsia="宋体" w:cs="Times New Roman"/>
          <w:sz w:val="24"/>
          <w:szCs w:val="24"/>
        </w:rPr>
        <w:t>英国初中阶段（GCSE阶段）学生可选择的课程范围较广，既有必修课程保证基础知识的学习，又有丰富的选修课程满足学生的兴趣和特长发展。而中国初中课程相对统一，选修课较少，主要围绕核心科目展开教学。</w:t>
      </w:r>
      <w:r>
        <w:rPr>
          <w:rFonts w:hint="eastAsia" w:ascii="Times New Roman" w:hAnsi="Times New Roman" w:eastAsia="宋体" w:cs="Times New Roman"/>
          <w:sz w:val="24"/>
          <w:szCs w:val="24"/>
        </w:rPr>
        <w:t>英国与中国课程广度对比如表</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所示。</w:t>
      </w:r>
    </w:p>
    <w:p w14:paraId="7DD995B7">
      <w:pPr>
        <w:ind w:firstLine="420"/>
        <w:jc w:val="center"/>
        <w:rPr>
          <w:rFonts w:hint="eastAsia" w:ascii="Times New Roman" w:hAnsi="Times New Roman" w:eastAsia="宋体" w:cs="Times New Roman"/>
          <w:szCs w:val="21"/>
        </w:rPr>
      </w:pPr>
      <w:r>
        <w:rPr>
          <w:rFonts w:ascii="Times New Roman" w:hAnsi="Times New Roman" w:eastAsia="宋体" w:cs="Times New Roman"/>
          <w:szCs w:val="21"/>
        </w:rPr>
        <w:t>表</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 xml:space="preserve"> 英国与中国</w:t>
      </w:r>
      <w:r>
        <w:rPr>
          <w:rFonts w:hint="eastAsia" w:ascii="Times New Roman" w:hAnsi="Times New Roman" w:eastAsia="宋体" w:cs="Times New Roman"/>
          <w:szCs w:val="21"/>
        </w:rPr>
        <w:t>课程广度</w:t>
      </w:r>
      <w:r>
        <w:rPr>
          <w:rFonts w:ascii="Times New Roman" w:hAnsi="Times New Roman" w:eastAsia="宋体" w:cs="Times New Roman"/>
          <w:szCs w:val="21"/>
        </w:rPr>
        <w:t>对比</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35"/>
        <w:gridCol w:w="4908"/>
        <w:gridCol w:w="3603"/>
      </w:tblGrid>
      <w:tr w14:paraId="14E2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jc w:val="center"/>
        </w:trPr>
        <w:tc>
          <w:tcPr>
            <w:tcW w:w="0" w:type="auto"/>
            <w:tcBorders>
              <w:top w:val="single" w:color="000000" w:sz="12" w:space="0"/>
              <w:left w:val="nil"/>
              <w:bottom w:val="single" w:color="000000" w:sz="4" w:space="0"/>
              <w:right w:val="nil"/>
              <w:tl2br w:val="nil"/>
            </w:tcBorders>
            <w:shd w:val="clear" w:color="auto" w:fill="FFFFFF"/>
            <w:vAlign w:val="center"/>
          </w:tcPr>
          <w:p w14:paraId="55656B98">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维度</w:t>
            </w:r>
          </w:p>
        </w:tc>
        <w:tc>
          <w:tcPr>
            <w:tcW w:w="0" w:type="auto"/>
            <w:tcBorders>
              <w:top w:val="single" w:color="000000" w:sz="12" w:space="0"/>
              <w:left w:val="nil"/>
              <w:bottom w:val="single" w:color="000000" w:sz="4" w:space="0"/>
              <w:right w:val="nil"/>
            </w:tcBorders>
            <w:shd w:val="clear" w:color="auto" w:fill="FFFFFF"/>
            <w:vAlign w:val="center"/>
          </w:tcPr>
          <w:p w14:paraId="2EDD8A40">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英国中学体系</w:t>
            </w:r>
          </w:p>
        </w:tc>
        <w:tc>
          <w:tcPr>
            <w:tcW w:w="0" w:type="auto"/>
            <w:tcBorders>
              <w:top w:val="single" w:color="000000" w:sz="12" w:space="0"/>
              <w:left w:val="nil"/>
              <w:bottom w:val="single" w:color="000000" w:sz="4" w:space="0"/>
              <w:right w:val="nil"/>
            </w:tcBorders>
            <w:shd w:val="clear" w:color="auto" w:fill="FFFFFF"/>
            <w:vAlign w:val="center"/>
          </w:tcPr>
          <w:p w14:paraId="040D7F89">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中国中学体系</w:t>
            </w:r>
          </w:p>
        </w:tc>
      </w:tr>
      <w:tr w14:paraId="6F82D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jc w:val="center"/>
        </w:trPr>
        <w:tc>
          <w:tcPr>
            <w:tcW w:w="0" w:type="auto"/>
            <w:tcBorders>
              <w:top w:val="single" w:color="000000" w:sz="4" w:space="0"/>
              <w:left w:val="nil"/>
              <w:bottom w:val="single" w:color="000000" w:sz="12" w:space="0"/>
              <w:right w:val="nil"/>
            </w:tcBorders>
            <w:shd w:val="clear" w:color="auto" w:fill="FFFFFF"/>
            <w:vAlign w:val="center"/>
          </w:tcPr>
          <w:p w14:paraId="4D740F78">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课程广度</w:t>
            </w:r>
          </w:p>
        </w:tc>
        <w:tc>
          <w:tcPr>
            <w:tcW w:w="0" w:type="auto"/>
            <w:tcBorders>
              <w:top w:val="single" w:color="000000" w:sz="4" w:space="0"/>
              <w:left w:val="nil"/>
              <w:bottom w:val="single" w:color="000000" w:sz="12" w:space="0"/>
              <w:right w:val="nil"/>
            </w:tcBorders>
            <w:shd w:val="clear" w:color="auto" w:fill="FFFFFF"/>
            <w:vAlign w:val="center"/>
          </w:tcPr>
          <w:p w14:paraId="78824E20">
            <w:pPr>
              <w:pStyle w:val="19"/>
              <w:spacing w:line="240" w:lineRule="auto"/>
              <w:jc w:val="center"/>
              <w:rPr>
                <w:rFonts w:hint="eastAsia" w:ascii="Times New Roman" w:hAnsi="Times New Roman" w:cs="Times New Roman"/>
                <w:b w:val="0"/>
                <w:sz w:val="21"/>
                <w:szCs w:val="21"/>
              </w:rPr>
            </w:pPr>
            <w:r>
              <w:rPr>
                <w:rFonts w:ascii="Times New Roman" w:hAnsi="Times New Roman" w:cs="Times New Roman"/>
                <w:b w:val="0"/>
                <w:sz w:val="21"/>
                <w:szCs w:val="21"/>
              </w:rPr>
              <w:t>GCSE阶段：学生选择8~12门课程包括必修（英语、数学、科学）和选修（艺术、历史、外语等）</w:t>
            </w:r>
            <w:r>
              <w:rPr>
                <w:rFonts w:hint="eastAsia" w:ascii="Times New Roman" w:hAnsi="Times New Roman" w:cs="Times New Roman"/>
                <w:b w:val="0"/>
                <w:sz w:val="21"/>
                <w:szCs w:val="21"/>
              </w:rPr>
              <w:t>；</w:t>
            </w:r>
          </w:p>
          <w:p w14:paraId="39FC122B">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A~Level阶段：自由选择3~4门深度学科</w:t>
            </w:r>
          </w:p>
        </w:tc>
        <w:tc>
          <w:tcPr>
            <w:tcW w:w="0" w:type="auto"/>
            <w:tcBorders>
              <w:top w:val="single" w:color="000000" w:sz="4" w:space="0"/>
              <w:left w:val="nil"/>
              <w:bottom w:val="single" w:color="000000" w:sz="12" w:space="0"/>
              <w:right w:val="nil"/>
            </w:tcBorders>
            <w:shd w:val="clear" w:color="auto" w:fill="FFFFFF"/>
            <w:vAlign w:val="center"/>
          </w:tcPr>
          <w:p w14:paraId="73E551D6">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初中：统一课程（语数英、理化生、政史地等），选修课较少；</w:t>
            </w:r>
          </w:p>
          <w:p w14:paraId="5B79ECEB">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高中：文理分科（新高考改革后部分省份取消分科，但核心科目仍固定）</w:t>
            </w:r>
          </w:p>
        </w:tc>
      </w:tr>
    </w:tbl>
    <w:p w14:paraId="787C058F">
      <w:pPr>
        <w:pStyle w:val="5"/>
        <w:spacing w:before="280" w:after="290" w:line="297" w:lineRule="auto"/>
        <w:rPr>
          <w:rFonts w:ascii="Times New Roman" w:hAnsi="Times New Roman" w:eastAsia="宋体" w:cs="Times New Roman"/>
        </w:rPr>
      </w:pPr>
      <w:r>
        <w:rPr>
          <w:rFonts w:ascii="Times New Roman" w:hAnsi="Times New Roman" w:eastAsia="宋体" w:cs="Times New Roman"/>
        </w:rPr>
        <w:t>3.2.2课程深度</w:t>
      </w:r>
    </w:p>
    <w:p w14:paraId="48EE3B7B">
      <w:pPr>
        <w:rPr>
          <w:rFonts w:ascii="Times New Roman" w:hAnsi="Times New Roman" w:eastAsia="宋体" w:cs="Times New Roman"/>
          <w:sz w:val="24"/>
          <w:szCs w:val="24"/>
        </w:rPr>
      </w:pPr>
      <w:r>
        <w:rPr>
          <w:rFonts w:ascii="Times New Roman" w:hAnsi="Times New Roman" w:eastAsia="宋体" w:cs="Times New Roman"/>
          <w:sz w:val="24"/>
          <w:szCs w:val="24"/>
        </w:rPr>
        <w:t>英国在A~Level阶段学生自由选择3~4门学科进行深入学习，更注重学科的专业性和深度。中国高中阶段文理分科（部分省份新高考改革后有所变化），学生在所选学科上也有一定的深度学习，但整体课程设置相对固定，学生自主选择的空间相对较小。</w:t>
      </w:r>
    </w:p>
    <w:p w14:paraId="766CB353">
      <w:pPr>
        <w:pStyle w:val="5"/>
        <w:spacing w:before="280" w:after="290" w:line="297" w:lineRule="auto"/>
        <w:rPr>
          <w:rFonts w:ascii="Times New Roman" w:hAnsi="Times New Roman" w:eastAsia="宋体" w:cs="Times New Roman"/>
        </w:rPr>
      </w:pPr>
      <w:r>
        <w:rPr>
          <w:rFonts w:ascii="Times New Roman" w:hAnsi="Times New Roman" w:eastAsia="宋体" w:cs="Times New Roman"/>
        </w:rPr>
        <w:t>3.2.3教学方式</w:t>
      </w:r>
    </w:p>
    <w:p w14:paraId="1ABDC741">
      <w:pPr>
        <w:spacing w:before="120" w:beforeLines="50"/>
        <w:rPr>
          <w:rFonts w:hint="eastAsia" w:ascii="Times New Roman" w:hAnsi="Times New Roman" w:eastAsia="宋体" w:cs="Times New Roman"/>
          <w:sz w:val="24"/>
          <w:szCs w:val="24"/>
        </w:rPr>
      </w:pPr>
      <w:r>
        <w:rPr>
          <w:rFonts w:ascii="Times New Roman" w:hAnsi="Times New Roman" w:eastAsia="宋体" w:cs="Times New Roman"/>
          <w:sz w:val="24"/>
          <w:szCs w:val="24"/>
        </w:rPr>
        <w:t>英国中学的教学方式更注重学生的自主学习和探究能力培养，通过小组讨论、项目研究等方式让学生在实践中学习。小班教学使教师能够给予每个学生更多的关注和指导。而中国中学以教师讲授为主，学生主要通过听讲和练习来学习知识，大班制教学在一定程度上限制了课堂互动和个性化教学。</w:t>
      </w:r>
      <w:r>
        <w:rPr>
          <w:rFonts w:hint="eastAsia" w:ascii="Times New Roman" w:hAnsi="Times New Roman" w:eastAsia="宋体" w:cs="Times New Roman"/>
          <w:sz w:val="24"/>
          <w:szCs w:val="24"/>
        </w:rPr>
        <w:t>英国与中国教学方式对比如表</w:t>
      </w: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所示。</w:t>
      </w:r>
    </w:p>
    <w:p w14:paraId="1A50785C">
      <w:pPr>
        <w:ind w:firstLine="420"/>
        <w:jc w:val="center"/>
        <w:rPr>
          <w:rFonts w:hint="eastAsia" w:ascii="Times New Roman" w:hAnsi="Times New Roman" w:eastAsia="宋体" w:cs="Times New Roman"/>
          <w:szCs w:val="21"/>
        </w:rPr>
      </w:pPr>
      <w:r>
        <w:rPr>
          <w:rFonts w:ascii="Times New Roman" w:hAnsi="Times New Roman" w:eastAsia="宋体" w:cs="Times New Roman"/>
          <w:szCs w:val="21"/>
        </w:rPr>
        <w:t>表</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 xml:space="preserve"> 英国与中国</w:t>
      </w:r>
      <w:r>
        <w:rPr>
          <w:rFonts w:hint="eastAsia" w:ascii="Times New Roman" w:hAnsi="Times New Roman" w:eastAsia="宋体" w:cs="Times New Roman"/>
          <w:szCs w:val="21"/>
        </w:rPr>
        <w:t>教学方式</w:t>
      </w:r>
      <w:r>
        <w:rPr>
          <w:rFonts w:ascii="Times New Roman" w:hAnsi="Times New Roman" w:eastAsia="宋体" w:cs="Times New Roman"/>
          <w:szCs w:val="21"/>
        </w:rPr>
        <w:t>对比</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80"/>
        <w:gridCol w:w="4058"/>
        <w:gridCol w:w="4408"/>
      </w:tblGrid>
      <w:tr w14:paraId="3A0A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0" w:type="auto"/>
            <w:tcBorders>
              <w:top w:val="single" w:color="000000" w:sz="12" w:space="0"/>
              <w:left w:val="nil"/>
              <w:bottom w:val="single" w:color="000000" w:sz="4" w:space="0"/>
              <w:right w:val="nil"/>
              <w:tl2br w:val="nil"/>
            </w:tcBorders>
            <w:shd w:val="clear" w:color="auto" w:fill="FFFFFF"/>
            <w:vAlign w:val="center"/>
          </w:tcPr>
          <w:p w14:paraId="43286898">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维度</w:t>
            </w:r>
          </w:p>
        </w:tc>
        <w:tc>
          <w:tcPr>
            <w:tcW w:w="0" w:type="auto"/>
            <w:tcBorders>
              <w:top w:val="single" w:color="000000" w:sz="12" w:space="0"/>
              <w:left w:val="nil"/>
              <w:bottom w:val="single" w:color="000000" w:sz="4" w:space="0"/>
              <w:right w:val="nil"/>
            </w:tcBorders>
            <w:shd w:val="clear" w:color="auto" w:fill="FFFFFF"/>
            <w:vAlign w:val="center"/>
          </w:tcPr>
          <w:p w14:paraId="0041695D">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英国中学体系</w:t>
            </w:r>
          </w:p>
        </w:tc>
        <w:tc>
          <w:tcPr>
            <w:tcW w:w="0" w:type="auto"/>
            <w:tcBorders>
              <w:top w:val="single" w:color="000000" w:sz="12" w:space="0"/>
              <w:left w:val="nil"/>
              <w:bottom w:val="single" w:color="000000" w:sz="4" w:space="0"/>
              <w:right w:val="nil"/>
            </w:tcBorders>
            <w:shd w:val="clear" w:color="auto" w:fill="FFFFFF"/>
            <w:vAlign w:val="center"/>
          </w:tcPr>
          <w:p w14:paraId="6873B59A">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中国中学体系</w:t>
            </w:r>
          </w:p>
        </w:tc>
      </w:tr>
      <w:tr w14:paraId="45ECA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0" w:type="auto"/>
            <w:tcBorders>
              <w:top w:val="single" w:color="000000" w:sz="4" w:space="0"/>
              <w:left w:val="nil"/>
              <w:bottom w:val="single" w:color="000000" w:sz="12" w:space="0"/>
              <w:right w:val="nil"/>
            </w:tcBorders>
            <w:shd w:val="clear" w:color="auto" w:fill="FFFFFF"/>
            <w:vAlign w:val="center"/>
          </w:tcPr>
          <w:p w14:paraId="4A165017">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教学方式</w:t>
            </w:r>
          </w:p>
        </w:tc>
        <w:tc>
          <w:tcPr>
            <w:tcW w:w="0" w:type="auto"/>
            <w:tcBorders>
              <w:top w:val="single" w:color="000000" w:sz="4" w:space="0"/>
              <w:left w:val="nil"/>
              <w:bottom w:val="single" w:color="000000" w:sz="12" w:space="0"/>
              <w:right w:val="nil"/>
            </w:tcBorders>
            <w:shd w:val="clear" w:color="auto" w:fill="FFFFFF"/>
            <w:vAlign w:val="center"/>
          </w:tcPr>
          <w:p w14:paraId="550B6197">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注重讨论、实践、批判性思维；小班教学（15~20人），个性化关注度高</w:t>
            </w:r>
          </w:p>
        </w:tc>
        <w:tc>
          <w:tcPr>
            <w:tcW w:w="0" w:type="auto"/>
            <w:tcBorders>
              <w:top w:val="single" w:color="000000" w:sz="4" w:space="0"/>
              <w:left w:val="nil"/>
              <w:bottom w:val="single" w:color="000000" w:sz="12" w:space="0"/>
              <w:right w:val="nil"/>
            </w:tcBorders>
            <w:shd w:val="clear" w:color="auto" w:fill="FFFFFF"/>
            <w:vAlign w:val="center"/>
          </w:tcPr>
          <w:p w14:paraId="30ABB287">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以教师讲授为主，强调知识记忆与应试技巧；大班制（40~50人），标准化教学</w:t>
            </w:r>
          </w:p>
        </w:tc>
      </w:tr>
    </w:tbl>
    <w:p w14:paraId="4D2F4416">
      <w:pPr>
        <w:pStyle w:val="5"/>
        <w:spacing w:before="280" w:after="290" w:line="297" w:lineRule="auto"/>
        <w:rPr>
          <w:rFonts w:ascii="Times New Roman" w:hAnsi="Times New Roman" w:eastAsia="宋体" w:cs="Times New Roman"/>
        </w:rPr>
      </w:pPr>
      <w:r>
        <w:rPr>
          <w:rFonts w:ascii="Times New Roman" w:hAnsi="Times New Roman" w:eastAsia="宋体" w:cs="Times New Roman"/>
        </w:rPr>
        <w:t>3.2.4课外活动</w:t>
      </w:r>
    </w:p>
    <w:p w14:paraId="53EF3907">
      <w:pPr>
        <w:spacing w:before="120" w:beforeLines="50"/>
        <w:rPr>
          <w:rFonts w:hint="eastAsia" w:ascii="Times New Roman" w:hAnsi="Times New Roman" w:eastAsia="宋体" w:cs="Times New Roman"/>
          <w:sz w:val="24"/>
          <w:szCs w:val="24"/>
        </w:rPr>
      </w:pPr>
      <w:r>
        <w:rPr>
          <w:rFonts w:ascii="Times New Roman" w:hAnsi="Times New Roman" w:eastAsia="宋体" w:cs="Times New Roman"/>
          <w:sz w:val="24"/>
          <w:szCs w:val="24"/>
        </w:rPr>
        <w:t>在英国中学，课外活动被视为教育的重要组成部分，学生有更多的机会参与体育、艺术、社团等活动，这些活动的表现还会计入综合素质评价。而在中国中学，由于学业压力较大，课外活动时间相对较少，且主要集中在学科竞赛方面。</w:t>
      </w:r>
      <w:r>
        <w:rPr>
          <w:rFonts w:hint="eastAsia" w:ascii="Times New Roman" w:hAnsi="Times New Roman" w:eastAsia="宋体" w:cs="Times New Roman"/>
          <w:sz w:val="24"/>
          <w:szCs w:val="24"/>
        </w:rPr>
        <w:t>英国与中国课外活动对比如表</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所示。</w:t>
      </w:r>
    </w:p>
    <w:p w14:paraId="21493DAD">
      <w:pPr>
        <w:ind w:firstLine="420"/>
        <w:jc w:val="center"/>
        <w:rPr>
          <w:rFonts w:hint="eastAsia" w:ascii="Times New Roman" w:hAnsi="Times New Roman" w:eastAsia="宋体" w:cs="Times New Roman"/>
          <w:szCs w:val="21"/>
        </w:rPr>
      </w:pPr>
      <w:r>
        <w:rPr>
          <w:rFonts w:ascii="Times New Roman" w:hAnsi="Times New Roman" w:eastAsia="宋体" w:cs="Times New Roman"/>
          <w:szCs w:val="21"/>
        </w:rPr>
        <w:t>表</w:t>
      </w:r>
      <w:r>
        <w:rPr>
          <w:rFonts w:hint="eastAsia" w:ascii="Times New Roman" w:hAnsi="Times New Roman" w:eastAsia="宋体" w:cs="Times New Roman"/>
          <w:szCs w:val="21"/>
          <w:lang w:val="en-US" w:eastAsia="zh-CN"/>
        </w:rPr>
        <w:t>4</w:t>
      </w:r>
      <w:r>
        <w:rPr>
          <w:rFonts w:ascii="Times New Roman" w:hAnsi="Times New Roman" w:eastAsia="宋体" w:cs="Times New Roman"/>
          <w:szCs w:val="21"/>
        </w:rPr>
        <w:t xml:space="preserve"> 英国与中国</w:t>
      </w:r>
      <w:r>
        <w:rPr>
          <w:rFonts w:hint="eastAsia" w:ascii="Times New Roman" w:hAnsi="Times New Roman" w:eastAsia="宋体" w:cs="Times New Roman"/>
          <w:szCs w:val="21"/>
        </w:rPr>
        <w:t>课外活动</w:t>
      </w:r>
      <w:r>
        <w:rPr>
          <w:rFonts w:ascii="Times New Roman" w:hAnsi="Times New Roman" w:eastAsia="宋体" w:cs="Times New Roman"/>
          <w:szCs w:val="21"/>
        </w:rPr>
        <w:t>对比</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48"/>
        <w:gridCol w:w="4895"/>
        <w:gridCol w:w="3503"/>
      </w:tblGrid>
      <w:tr w14:paraId="757C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0" w:type="auto"/>
            <w:tcBorders>
              <w:top w:val="single" w:color="000000" w:sz="12" w:space="0"/>
              <w:left w:val="nil"/>
              <w:bottom w:val="single" w:color="000000" w:sz="4" w:space="0"/>
              <w:right w:val="nil"/>
              <w:tl2br w:val="nil"/>
            </w:tcBorders>
            <w:shd w:val="clear" w:color="auto" w:fill="FFFFFF"/>
            <w:vAlign w:val="center"/>
          </w:tcPr>
          <w:p w14:paraId="2953D88F">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维度</w:t>
            </w:r>
          </w:p>
        </w:tc>
        <w:tc>
          <w:tcPr>
            <w:tcW w:w="0" w:type="auto"/>
            <w:tcBorders>
              <w:top w:val="single" w:color="000000" w:sz="12" w:space="0"/>
              <w:left w:val="nil"/>
              <w:bottom w:val="single" w:color="000000" w:sz="4" w:space="0"/>
              <w:right w:val="nil"/>
            </w:tcBorders>
            <w:shd w:val="clear" w:color="auto" w:fill="FFFFFF"/>
            <w:vAlign w:val="center"/>
          </w:tcPr>
          <w:p w14:paraId="10A7B441">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英国中学体系</w:t>
            </w:r>
          </w:p>
        </w:tc>
        <w:tc>
          <w:tcPr>
            <w:tcW w:w="0" w:type="auto"/>
            <w:tcBorders>
              <w:top w:val="single" w:color="000000" w:sz="12" w:space="0"/>
              <w:left w:val="nil"/>
              <w:bottom w:val="single" w:color="000000" w:sz="4" w:space="0"/>
              <w:right w:val="nil"/>
            </w:tcBorders>
            <w:shd w:val="clear" w:color="auto" w:fill="FFFFFF"/>
            <w:vAlign w:val="center"/>
          </w:tcPr>
          <w:p w14:paraId="0CBACDF9">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中国中学体系</w:t>
            </w:r>
          </w:p>
        </w:tc>
      </w:tr>
      <w:tr w14:paraId="060C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0" w:type="auto"/>
            <w:tcBorders>
              <w:top w:val="single" w:color="000000" w:sz="4" w:space="0"/>
              <w:left w:val="nil"/>
              <w:bottom w:val="single" w:color="000000" w:sz="12" w:space="0"/>
              <w:right w:val="nil"/>
            </w:tcBorders>
            <w:shd w:val="clear" w:color="auto" w:fill="FFFFFF"/>
            <w:vAlign w:val="center"/>
          </w:tcPr>
          <w:p w14:paraId="46DF8B52">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课外活动</w:t>
            </w:r>
          </w:p>
        </w:tc>
        <w:tc>
          <w:tcPr>
            <w:tcW w:w="0" w:type="auto"/>
            <w:tcBorders>
              <w:top w:val="single" w:color="000000" w:sz="4" w:space="0"/>
              <w:left w:val="nil"/>
              <w:bottom w:val="single" w:color="000000" w:sz="12" w:space="0"/>
              <w:right w:val="nil"/>
            </w:tcBorders>
            <w:shd w:val="clear" w:color="auto" w:fill="FFFFFF"/>
            <w:vAlign w:val="center"/>
          </w:tcPr>
          <w:p w14:paraId="08F099F1">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课外活动（体育、艺术、社团等）是教育的重要组成部分，计入综合素质评价</w:t>
            </w:r>
          </w:p>
        </w:tc>
        <w:tc>
          <w:tcPr>
            <w:tcW w:w="0" w:type="auto"/>
            <w:tcBorders>
              <w:top w:val="single" w:color="000000" w:sz="4" w:space="0"/>
              <w:left w:val="nil"/>
              <w:bottom w:val="single" w:color="000000" w:sz="12" w:space="0"/>
              <w:right w:val="nil"/>
            </w:tcBorders>
            <w:shd w:val="clear" w:color="auto" w:fill="FFFFFF"/>
            <w:vAlign w:val="center"/>
          </w:tcPr>
          <w:p w14:paraId="114E5B2A">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课外活动时间较少，通常被学业挤压，以学科竞赛为主</w:t>
            </w:r>
          </w:p>
        </w:tc>
      </w:tr>
    </w:tbl>
    <w:p w14:paraId="79F64455">
      <w:pPr>
        <w:pStyle w:val="4"/>
        <w:spacing w:before="260" w:after="260" w:line="336" w:lineRule="auto"/>
        <w:rPr>
          <w:rFonts w:ascii="Times New Roman" w:hAnsi="Times New Roman" w:cs="Times New Roman"/>
        </w:rPr>
      </w:pPr>
      <w:r>
        <w:rPr>
          <w:rFonts w:ascii="Times New Roman" w:hAnsi="Times New Roman" w:cs="Times New Roman"/>
        </w:rPr>
        <w:t>3.3评估与录取路径对比</w:t>
      </w:r>
    </w:p>
    <w:p w14:paraId="701EB896">
      <w:pPr>
        <w:pStyle w:val="5"/>
        <w:spacing w:before="280" w:after="290" w:line="297" w:lineRule="auto"/>
        <w:rPr>
          <w:rFonts w:ascii="Times New Roman" w:hAnsi="Times New Roman" w:eastAsia="宋体" w:cs="Times New Roman"/>
        </w:rPr>
      </w:pPr>
      <w:r>
        <w:rPr>
          <w:rFonts w:ascii="Times New Roman" w:hAnsi="Times New Roman" w:eastAsia="宋体" w:cs="Times New Roman"/>
        </w:rPr>
        <w:t>3.3.1核心考试</w:t>
      </w:r>
    </w:p>
    <w:p w14:paraId="45286E66">
      <w:pPr>
        <w:rPr>
          <w:rFonts w:ascii="Times New Roman" w:hAnsi="Times New Roman" w:eastAsia="宋体" w:cs="Times New Roman"/>
          <w:sz w:val="24"/>
          <w:szCs w:val="24"/>
        </w:rPr>
      </w:pPr>
      <w:r>
        <w:rPr>
          <w:rFonts w:ascii="Times New Roman" w:hAnsi="Times New Roman" w:eastAsia="宋体" w:cs="Times New Roman"/>
          <w:sz w:val="24"/>
          <w:szCs w:val="24"/>
        </w:rPr>
        <w:t>英国的GCSE和A~Level考试在内容和形式上与中国的中考和高考有所不同。英国考试更注重对学科知识的综合考查和学生的能力表现，成绩分级更加精细化。而中国的中考和高考则是决定学生升学的关键考试，科目相对固定，考试形式以笔试为主。</w:t>
      </w:r>
      <w:r>
        <w:rPr>
          <w:rFonts w:hint="eastAsia" w:ascii="Times New Roman" w:hAnsi="Times New Roman" w:eastAsia="宋体" w:cs="Times New Roman"/>
          <w:sz w:val="24"/>
          <w:szCs w:val="24"/>
        </w:rPr>
        <w:t>英国与中国核心考试对比如表</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所示。</w:t>
      </w:r>
    </w:p>
    <w:p w14:paraId="372B9B4B">
      <w:pPr>
        <w:ind w:firstLine="420"/>
        <w:jc w:val="center"/>
        <w:rPr>
          <w:rFonts w:hint="eastAsia" w:ascii="Times New Roman" w:hAnsi="Times New Roman" w:eastAsia="宋体" w:cs="Times New Roman"/>
          <w:szCs w:val="21"/>
        </w:rPr>
      </w:pPr>
      <w:r>
        <w:rPr>
          <w:rFonts w:ascii="Times New Roman" w:hAnsi="Times New Roman" w:eastAsia="宋体" w:cs="Times New Roman"/>
          <w:szCs w:val="21"/>
        </w:rPr>
        <w:t>表</w:t>
      </w:r>
      <w:r>
        <w:rPr>
          <w:rFonts w:hint="eastAsia" w:ascii="Times New Roman" w:hAnsi="Times New Roman" w:eastAsia="宋体" w:cs="Times New Roman"/>
          <w:szCs w:val="21"/>
          <w:lang w:val="en-US" w:eastAsia="zh-CN"/>
        </w:rPr>
        <w:t>5</w:t>
      </w:r>
      <w:r>
        <w:rPr>
          <w:rFonts w:ascii="Times New Roman" w:hAnsi="Times New Roman" w:eastAsia="宋体" w:cs="Times New Roman"/>
          <w:szCs w:val="21"/>
        </w:rPr>
        <w:t xml:space="preserve"> 英国与中国</w:t>
      </w:r>
      <w:r>
        <w:rPr>
          <w:rFonts w:hint="eastAsia" w:ascii="Times New Roman" w:hAnsi="Times New Roman" w:eastAsia="宋体" w:cs="Times New Roman"/>
          <w:szCs w:val="21"/>
        </w:rPr>
        <w:t>核心考试</w:t>
      </w:r>
      <w:r>
        <w:rPr>
          <w:rFonts w:ascii="Times New Roman" w:hAnsi="Times New Roman" w:eastAsia="宋体" w:cs="Times New Roman"/>
          <w:szCs w:val="21"/>
        </w:rPr>
        <w:t>对比</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81"/>
        <w:gridCol w:w="4282"/>
        <w:gridCol w:w="4083"/>
      </w:tblGrid>
      <w:tr w14:paraId="77331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2" w:hRule="atLeast"/>
          <w:jc w:val="center"/>
        </w:trPr>
        <w:tc>
          <w:tcPr>
            <w:tcW w:w="0" w:type="auto"/>
            <w:tcBorders>
              <w:top w:val="single" w:color="000000" w:sz="12" w:space="0"/>
              <w:left w:val="nil"/>
              <w:bottom w:val="single" w:color="000000" w:sz="4" w:space="0"/>
              <w:right w:val="nil"/>
              <w:tl2br w:val="nil"/>
            </w:tcBorders>
            <w:shd w:val="clear" w:color="auto" w:fill="FFFFFF"/>
            <w:vAlign w:val="center"/>
          </w:tcPr>
          <w:p w14:paraId="659C3BEA">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维度</w:t>
            </w:r>
          </w:p>
        </w:tc>
        <w:tc>
          <w:tcPr>
            <w:tcW w:w="0" w:type="auto"/>
            <w:tcBorders>
              <w:top w:val="single" w:color="000000" w:sz="12" w:space="0"/>
              <w:left w:val="nil"/>
              <w:bottom w:val="single" w:color="000000" w:sz="4" w:space="0"/>
              <w:right w:val="nil"/>
            </w:tcBorders>
            <w:shd w:val="clear" w:color="auto" w:fill="FFFFFF"/>
            <w:vAlign w:val="center"/>
          </w:tcPr>
          <w:p w14:paraId="35B36FBA">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英国中学体系</w:t>
            </w:r>
          </w:p>
        </w:tc>
        <w:tc>
          <w:tcPr>
            <w:tcW w:w="0" w:type="auto"/>
            <w:tcBorders>
              <w:top w:val="single" w:color="000000" w:sz="12" w:space="0"/>
              <w:left w:val="nil"/>
              <w:bottom w:val="single" w:color="000000" w:sz="4" w:space="0"/>
              <w:right w:val="nil"/>
            </w:tcBorders>
            <w:shd w:val="clear" w:color="auto" w:fill="FFFFFF"/>
            <w:vAlign w:val="center"/>
          </w:tcPr>
          <w:p w14:paraId="3FD205BE">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中国中学体系</w:t>
            </w:r>
          </w:p>
        </w:tc>
      </w:tr>
      <w:tr w14:paraId="20C22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68" w:hRule="atLeast"/>
          <w:jc w:val="center"/>
        </w:trPr>
        <w:tc>
          <w:tcPr>
            <w:tcW w:w="0" w:type="auto"/>
            <w:tcBorders>
              <w:top w:val="single" w:color="000000" w:sz="4" w:space="0"/>
              <w:left w:val="nil"/>
              <w:bottom w:val="single" w:color="000000" w:sz="12" w:space="0"/>
              <w:right w:val="nil"/>
            </w:tcBorders>
            <w:shd w:val="clear" w:color="auto" w:fill="FFFFFF"/>
            <w:vAlign w:val="center"/>
          </w:tcPr>
          <w:p w14:paraId="7DC6000B">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核心考试</w:t>
            </w:r>
          </w:p>
        </w:tc>
        <w:tc>
          <w:tcPr>
            <w:tcW w:w="0" w:type="auto"/>
            <w:tcBorders>
              <w:top w:val="single" w:color="000000" w:sz="4" w:space="0"/>
              <w:left w:val="nil"/>
              <w:bottom w:val="single" w:color="000000" w:sz="12" w:space="0"/>
              <w:right w:val="nil"/>
            </w:tcBorders>
            <w:shd w:val="clear" w:color="auto" w:fill="FFFFFF"/>
            <w:vAlign w:val="center"/>
          </w:tcPr>
          <w:p w14:paraId="6685CE58">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GCSE：考察广泛学科，成绩从低到高分1~9 级；</w:t>
            </w:r>
          </w:p>
          <w:p w14:paraId="2FFC9F9B">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A~Level：分 AS（Year 12）和A2（Year 13），成绩分A*~E</w:t>
            </w:r>
          </w:p>
        </w:tc>
        <w:tc>
          <w:tcPr>
            <w:tcW w:w="0" w:type="auto"/>
            <w:tcBorders>
              <w:top w:val="single" w:color="000000" w:sz="4" w:space="0"/>
              <w:left w:val="nil"/>
              <w:bottom w:val="single" w:color="000000" w:sz="12" w:space="0"/>
              <w:right w:val="nil"/>
            </w:tcBorders>
            <w:shd w:val="clear" w:color="auto" w:fill="FFFFFF"/>
            <w:vAlign w:val="center"/>
          </w:tcPr>
          <w:p w14:paraId="7C7ACFD2">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中考：决定高中录取，科目固定（语数英+理化/政史等）；</w:t>
            </w:r>
          </w:p>
          <w:p w14:paraId="0983CFA9">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高考：全国统一或分省命题，成绩决定大学录取</w:t>
            </w:r>
          </w:p>
        </w:tc>
      </w:tr>
    </w:tbl>
    <w:p w14:paraId="5858CB11">
      <w:pPr>
        <w:pStyle w:val="5"/>
        <w:spacing w:before="280" w:after="290" w:line="297" w:lineRule="auto"/>
        <w:rPr>
          <w:rFonts w:ascii="Times New Roman" w:hAnsi="Times New Roman" w:eastAsia="宋体" w:cs="Times New Roman"/>
        </w:rPr>
      </w:pPr>
      <w:r>
        <w:rPr>
          <w:rFonts w:ascii="Times New Roman" w:hAnsi="Times New Roman" w:eastAsia="宋体" w:cs="Times New Roman"/>
        </w:rPr>
        <w:t>3.3.2录取压力与方式</w:t>
      </w:r>
    </w:p>
    <w:p w14:paraId="70261C77">
      <w:pPr>
        <w:rPr>
          <w:rFonts w:hint="eastAsia" w:ascii="Times New Roman" w:hAnsi="Times New Roman" w:eastAsia="宋体" w:cs="Times New Roman"/>
          <w:sz w:val="24"/>
          <w:szCs w:val="24"/>
        </w:rPr>
      </w:pPr>
      <w:r>
        <w:rPr>
          <w:rFonts w:ascii="Times New Roman" w:hAnsi="Times New Roman" w:eastAsia="宋体" w:cs="Times New Roman"/>
          <w:sz w:val="24"/>
          <w:szCs w:val="24"/>
        </w:rPr>
        <w:t>在录取方面，英国学生升大学的压力相对分散，两次重要考试的成绩以及平时的表现、推荐信、个人陈述等都会影响大学录取。而中国学生的大学录取主要取决于高考成绩，高考的竞争非常激烈，</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一考定终身</w:t>
      </w:r>
      <w:r>
        <w:rPr>
          <w:rFonts w:hint="eastAsia" w:ascii="Times New Roman" w:hAnsi="Times New Roman" w:eastAsia="宋体" w:cs="Times New Roman"/>
          <w:sz w:val="24"/>
          <w:szCs w:val="24"/>
        </w:rPr>
        <w:t>”</w:t>
      </w:r>
      <w:r>
        <w:rPr>
          <w:rFonts w:ascii="Times New Roman" w:hAnsi="Times New Roman" w:eastAsia="宋体" w:cs="Times New Roman"/>
          <w:sz w:val="24"/>
          <w:szCs w:val="24"/>
        </w:rPr>
        <w:t>的特点较为明显。</w:t>
      </w:r>
      <w:r>
        <w:rPr>
          <w:rFonts w:hint="eastAsia" w:ascii="Times New Roman" w:hAnsi="Times New Roman" w:eastAsia="宋体" w:cs="Times New Roman"/>
          <w:sz w:val="24"/>
          <w:szCs w:val="24"/>
        </w:rPr>
        <w:t>英国与中国录取压力与方式对比如表</w:t>
      </w:r>
      <w:r>
        <w:rPr>
          <w:rFonts w:hint="eastAsia"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rPr>
        <w:t>所示。</w:t>
      </w:r>
    </w:p>
    <w:p w14:paraId="0D39625C">
      <w:pPr>
        <w:ind w:firstLine="420"/>
        <w:jc w:val="center"/>
        <w:rPr>
          <w:rFonts w:hint="eastAsia" w:ascii="Times New Roman" w:hAnsi="Times New Roman" w:eastAsia="宋体" w:cs="Times New Roman"/>
          <w:szCs w:val="21"/>
        </w:rPr>
      </w:pPr>
      <w:r>
        <w:rPr>
          <w:rFonts w:ascii="Times New Roman" w:hAnsi="Times New Roman" w:eastAsia="宋体" w:cs="Times New Roman"/>
          <w:szCs w:val="21"/>
        </w:rPr>
        <w:t>表</w:t>
      </w:r>
      <w:r>
        <w:rPr>
          <w:rFonts w:hint="eastAsia" w:ascii="Times New Roman" w:hAnsi="Times New Roman" w:eastAsia="宋体" w:cs="Times New Roman"/>
          <w:szCs w:val="21"/>
          <w:lang w:val="en-US" w:eastAsia="zh-CN"/>
        </w:rPr>
        <w:t>6</w:t>
      </w:r>
      <w:r>
        <w:rPr>
          <w:rFonts w:ascii="Times New Roman" w:hAnsi="Times New Roman" w:eastAsia="宋体" w:cs="Times New Roman"/>
          <w:szCs w:val="21"/>
        </w:rPr>
        <w:t xml:space="preserve"> 英国与中国</w:t>
      </w:r>
      <w:r>
        <w:rPr>
          <w:rFonts w:hint="eastAsia" w:ascii="Times New Roman" w:hAnsi="Times New Roman" w:eastAsia="宋体" w:cs="Times New Roman"/>
          <w:szCs w:val="21"/>
        </w:rPr>
        <w:t>录取方式</w:t>
      </w:r>
      <w:r>
        <w:rPr>
          <w:rFonts w:ascii="Times New Roman" w:hAnsi="Times New Roman" w:eastAsia="宋体" w:cs="Times New Roman"/>
          <w:szCs w:val="21"/>
        </w:rPr>
        <w:t>对比</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48"/>
        <w:gridCol w:w="4955"/>
        <w:gridCol w:w="3343"/>
      </w:tblGrid>
      <w:tr w14:paraId="2806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0" w:type="auto"/>
            <w:tcBorders>
              <w:top w:val="single" w:color="000000" w:sz="12" w:space="0"/>
              <w:left w:val="nil"/>
              <w:bottom w:val="single" w:color="000000" w:sz="4" w:space="0"/>
              <w:right w:val="nil"/>
              <w:tl2br w:val="nil"/>
            </w:tcBorders>
            <w:shd w:val="clear" w:color="auto" w:fill="FFFFFF"/>
            <w:vAlign w:val="center"/>
          </w:tcPr>
          <w:p w14:paraId="61731DD2">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维度</w:t>
            </w:r>
          </w:p>
        </w:tc>
        <w:tc>
          <w:tcPr>
            <w:tcW w:w="0" w:type="auto"/>
            <w:tcBorders>
              <w:top w:val="single" w:color="000000" w:sz="12" w:space="0"/>
              <w:left w:val="nil"/>
              <w:bottom w:val="single" w:color="000000" w:sz="4" w:space="0"/>
              <w:right w:val="nil"/>
            </w:tcBorders>
            <w:shd w:val="clear" w:color="auto" w:fill="FFFFFF"/>
            <w:vAlign w:val="center"/>
          </w:tcPr>
          <w:p w14:paraId="184BE88B">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英国中学体系</w:t>
            </w:r>
          </w:p>
        </w:tc>
        <w:tc>
          <w:tcPr>
            <w:tcW w:w="0" w:type="auto"/>
            <w:tcBorders>
              <w:top w:val="single" w:color="000000" w:sz="12" w:space="0"/>
              <w:left w:val="nil"/>
              <w:bottom w:val="single" w:color="000000" w:sz="4" w:space="0"/>
              <w:right w:val="nil"/>
            </w:tcBorders>
            <w:shd w:val="clear" w:color="auto" w:fill="FFFFFF"/>
            <w:vAlign w:val="center"/>
          </w:tcPr>
          <w:p w14:paraId="3324DB83">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中国中学体系</w:t>
            </w:r>
          </w:p>
        </w:tc>
      </w:tr>
      <w:tr w14:paraId="60ED9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0" w:type="auto"/>
            <w:tcBorders>
              <w:top w:val="single" w:color="000000" w:sz="4" w:space="0"/>
              <w:left w:val="nil"/>
              <w:bottom w:val="single" w:color="000000" w:sz="12" w:space="0"/>
              <w:right w:val="nil"/>
            </w:tcBorders>
            <w:shd w:val="clear" w:color="auto" w:fill="FFFFFF"/>
            <w:vAlign w:val="center"/>
          </w:tcPr>
          <w:p w14:paraId="09695F8B">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录取梦校压力</w:t>
            </w:r>
          </w:p>
        </w:tc>
        <w:tc>
          <w:tcPr>
            <w:tcW w:w="0" w:type="auto"/>
            <w:tcBorders>
              <w:top w:val="single" w:color="000000" w:sz="4" w:space="0"/>
              <w:left w:val="nil"/>
              <w:bottom w:val="single" w:color="000000" w:sz="12" w:space="0"/>
              <w:right w:val="nil"/>
            </w:tcBorders>
            <w:shd w:val="clear" w:color="auto" w:fill="FFFFFF"/>
            <w:vAlign w:val="center"/>
          </w:tcPr>
          <w:p w14:paraId="2A8312B1">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压力分散在GCSE和A~Level两次考试，更注重平时表现；大学录取参考成绩、推荐信、个人陈述等</w:t>
            </w:r>
          </w:p>
        </w:tc>
        <w:tc>
          <w:tcPr>
            <w:tcW w:w="0" w:type="auto"/>
            <w:tcBorders>
              <w:top w:val="single" w:color="000000" w:sz="4" w:space="0"/>
              <w:left w:val="nil"/>
              <w:bottom w:val="single" w:color="000000" w:sz="12" w:space="0"/>
              <w:right w:val="nil"/>
            </w:tcBorders>
            <w:shd w:val="clear" w:color="auto" w:fill="FFFFFF"/>
            <w:vAlign w:val="center"/>
          </w:tcPr>
          <w:p w14:paraId="0170D6D0">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高考</w:t>
            </w:r>
            <w:r>
              <w:rPr>
                <w:rFonts w:hint="eastAsia" w:ascii="Times New Roman" w:hAnsi="Times New Roman" w:cs="Times New Roman"/>
                <w:b w:val="0"/>
                <w:sz w:val="21"/>
                <w:szCs w:val="21"/>
              </w:rPr>
              <w:t>“</w:t>
            </w:r>
            <w:r>
              <w:rPr>
                <w:rFonts w:ascii="Times New Roman" w:hAnsi="Times New Roman" w:cs="Times New Roman"/>
                <w:b w:val="0"/>
                <w:sz w:val="21"/>
                <w:szCs w:val="21"/>
              </w:rPr>
              <w:t>一考定终身</w:t>
            </w:r>
            <w:r>
              <w:rPr>
                <w:rFonts w:hint="eastAsia" w:ascii="Times New Roman" w:hAnsi="Times New Roman" w:cs="Times New Roman"/>
                <w:b w:val="0"/>
                <w:sz w:val="21"/>
                <w:szCs w:val="21"/>
              </w:rPr>
              <w:t>”</w:t>
            </w:r>
            <w:r>
              <w:rPr>
                <w:rFonts w:ascii="Times New Roman" w:hAnsi="Times New Roman" w:cs="Times New Roman"/>
                <w:b w:val="0"/>
                <w:sz w:val="21"/>
                <w:szCs w:val="21"/>
              </w:rPr>
              <w:t>，竞争激烈；大学录取几乎完全依赖高考分数</w:t>
            </w:r>
          </w:p>
        </w:tc>
      </w:tr>
    </w:tbl>
    <w:p w14:paraId="6D112573">
      <w:pPr>
        <w:pStyle w:val="5"/>
        <w:spacing w:before="280" w:after="290" w:line="297" w:lineRule="auto"/>
        <w:rPr>
          <w:rFonts w:ascii="Times New Roman" w:hAnsi="Times New Roman" w:eastAsia="宋体" w:cs="Times New Roman"/>
        </w:rPr>
      </w:pPr>
      <w:r>
        <w:rPr>
          <w:rFonts w:ascii="Times New Roman" w:hAnsi="Times New Roman" w:eastAsia="宋体" w:cs="Times New Roman"/>
        </w:rPr>
        <w:t>3.3.3国际认可度</w:t>
      </w:r>
    </w:p>
    <w:p w14:paraId="45D6B11A">
      <w:pPr>
        <w:rPr>
          <w:rFonts w:ascii="Times New Roman" w:hAnsi="Times New Roman" w:eastAsia="宋体" w:cs="Times New Roman"/>
          <w:sz w:val="24"/>
          <w:szCs w:val="24"/>
        </w:rPr>
      </w:pPr>
      <w:r>
        <w:rPr>
          <w:rFonts w:ascii="Times New Roman" w:hAnsi="Times New Roman" w:eastAsia="宋体" w:cs="Times New Roman"/>
          <w:sz w:val="24"/>
          <w:szCs w:val="24"/>
        </w:rPr>
        <w:t>英国的A~Level和IB成绩全球通用，可直接申请英美澳加等国家大学。中国的高考成绩逐渐被部分海外大学认可（如英国、澳洲），但通常需要额外的语言成绩（如雅思）。</w:t>
      </w:r>
    </w:p>
    <w:p w14:paraId="585503E4">
      <w:pPr>
        <w:pStyle w:val="5"/>
        <w:spacing w:before="280" w:after="290" w:line="297" w:lineRule="auto"/>
        <w:rPr>
          <w:rFonts w:ascii="Times New Roman" w:hAnsi="Times New Roman" w:eastAsia="宋体" w:cs="Times New Roman"/>
        </w:rPr>
      </w:pPr>
      <w:r>
        <w:rPr>
          <w:rFonts w:ascii="Times New Roman" w:hAnsi="Times New Roman" w:eastAsia="宋体" w:cs="Times New Roman"/>
        </w:rPr>
        <w:t>3.3.4教育理念差异对比</w:t>
      </w:r>
    </w:p>
    <w:p w14:paraId="50832CAD">
      <w:pPr>
        <w:rPr>
          <w:rFonts w:ascii="Times New Roman" w:hAnsi="Times New Roman" w:eastAsia="宋体" w:cs="Times New Roman"/>
          <w:sz w:val="24"/>
          <w:szCs w:val="24"/>
        </w:rPr>
      </w:pPr>
      <w:r>
        <w:rPr>
          <w:rFonts w:ascii="Times New Roman" w:hAnsi="Times New Roman" w:eastAsia="宋体" w:cs="Times New Roman"/>
          <w:sz w:val="24"/>
          <w:szCs w:val="24"/>
        </w:rPr>
        <w:t>（1）核心目标</w:t>
      </w:r>
    </w:p>
    <w:p w14:paraId="260FAF18">
      <w:pPr>
        <w:rPr>
          <w:rFonts w:ascii="Times New Roman" w:hAnsi="Times New Roman" w:eastAsia="宋体" w:cs="Times New Roman"/>
          <w:sz w:val="24"/>
          <w:szCs w:val="24"/>
        </w:rPr>
      </w:pPr>
      <w:r>
        <w:rPr>
          <w:rFonts w:ascii="Times New Roman" w:hAnsi="Times New Roman" w:eastAsia="宋体" w:cs="Times New Roman"/>
          <w:sz w:val="24"/>
          <w:szCs w:val="24"/>
        </w:rPr>
        <w:t>英国中学教育的核心目标更注重学生的全面发展，强调培养学生的独立思考能力、创造力和社会责任感。而中国中学教育在一定程度上更侧重于学生的学科知识掌握和应试能力，以帮助学生在升学考试中取得好成绩。</w:t>
      </w:r>
    </w:p>
    <w:p w14:paraId="42BCE15E">
      <w:pPr>
        <w:rPr>
          <w:rFonts w:ascii="Times New Roman" w:hAnsi="Times New Roman" w:eastAsia="宋体" w:cs="Times New Roman"/>
          <w:sz w:val="24"/>
          <w:szCs w:val="24"/>
        </w:rPr>
      </w:pPr>
      <w:r>
        <w:rPr>
          <w:rFonts w:ascii="Times New Roman" w:hAnsi="Times New Roman" w:eastAsia="宋体" w:cs="Times New Roman"/>
          <w:sz w:val="24"/>
          <w:szCs w:val="24"/>
        </w:rPr>
        <w:t>（2）学生自主权</w:t>
      </w:r>
    </w:p>
    <w:p w14:paraId="73F5FDA8">
      <w:pPr>
        <w:rPr>
          <w:rFonts w:ascii="Times New Roman" w:hAnsi="Times New Roman" w:eastAsia="宋体" w:cs="Times New Roman"/>
          <w:sz w:val="24"/>
          <w:szCs w:val="24"/>
        </w:rPr>
      </w:pPr>
      <w:r>
        <w:rPr>
          <w:rFonts w:ascii="Times New Roman" w:hAnsi="Times New Roman" w:eastAsia="宋体" w:cs="Times New Roman"/>
          <w:sz w:val="24"/>
          <w:szCs w:val="24"/>
        </w:rPr>
        <w:t>在学生自主权方面，英国学生从初中阶段（GCSE阶段）就开始有自主选择课程的权利，到高中阶段可以更专注于自己感兴趣的领域。而中国学生在课程选择上相对有限，核心科目主要由学校或教育政策规定。</w:t>
      </w:r>
    </w:p>
    <w:p w14:paraId="3F1101EE">
      <w:pPr>
        <w:rPr>
          <w:rFonts w:ascii="Times New Roman" w:hAnsi="Times New Roman" w:eastAsia="宋体" w:cs="Times New Roman"/>
          <w:sz w:val="24"/>
          <w:szCs w:val="24"/>
        </w:rPr>
      </w:pPr>
      <w:r>
        <w:rPr>
          <w:rFonts w:ascii="Times New Roman" w:hAnsi="Times New Roman" w:eastAsia="宋体" w:cs="Times New Roman"/>
          <w:sz w:val="24"/>
          <w:szCs w:val="24"/>
        </w:rPr>
        <w:t>（3）师生关系</w:t>
      </w:r>
    </w:p>
    <w:p w14:paraId="70AE6A41">
      <w:pPr>
        <w:rPr>
          <w:rFonts w:ascii="Times New Roman" w:hAnsi="Times New Roman" w:eastAsia="宋体" w:cs="Times New Roman"/>
          <w:sz w:val="24"/>
          <w:szCs w:val="24"/>
        </w:rPr>
      </w:pPr>
      <w:r>
        <w:rPr>
          <w:rFonts w:ascii="Times New Roman" w:hAnsi="Times New Roman" w:eastAsia="宋体" w:cs="Times New Roman"/>
          <w:sz w:val="24"/>
          <w:szCs w:val="24"/>
        </w:rPr>
        <w:t>英国中学的师生关系较为平等，教师鼓励学生质疑和表达自己的观点，课堂互动更加活跃。而在中国中学，学生主要以接受知识为主，师生互动相对较少，更多的是教师传授知识，学生被动接受。</w:t>
      </w:r>
    </w:p>
    <w:p w14:paraId="250278D0">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英国与中国主要</w:t>
      </w:r>
      <w:r>
        <w:rPr>
          <w:rFonts w:ascii="Times New Roman" w:hAnsi="Times New Roman" w:eastAsia="宋体" w:cs="Times New Roman"/>
          <w:color w:val="000000"/>
          <w:sz w:val="24"/>
          <w:szCs w:val="24"/>
        </w:rPr>
        <w:t>教育理念差异</w:t>
      </w:r>
      <w:r>
        <w:rPr>
          <w:rFonts w:hint="eastAsia" w:ascii="Times New Roman" w:hAnsi="Times New Roman" w:eastAsia="宋体" w:cs="Times New Roman"/>
          <w:sz w:val="24"/>
          <w:szCs w:val="24"/>
        </w:rPr>
        <w:t>对比如表</w:t>
      </w:r>
      <w:r>
        <w:rPr>
          <w:rFonts w:hint="eastAsia" w:ascii="Times New Roman" w:hAnsi="Times New Roman" w:eastAsia="宋体" w:cs="Times New Roman"/>
          <w:sz w:val="24"/>
          <w:szCs w:val="24"/>
          <w:lang w:val="en-US" w:eastAsia="zh-CN"/>
        </w:rPr>
        <w:t>7</w:t>
      </w:r>
      <w:bookmarkStart w:id="0" w:name="_GoBack"/>
      <w:bookmarkEnd w:id="0"/>
      <w:r>
        <w:rPr>
          <w:rFonts w:hint="eastAsia" w:ascii="Times New Roman" w:hAnsi="Times New Roman" w:eastAsia="宋体" w:cs="Times New Roman"/>
          <w:sz w:val="24"/>
          <w:szCs w:val="24"/>
        </w:rPr>
        <w:t>所示</w:t>
      </w:r>
    </w:p>
    <w:p w14:paraId="43A700A5">
      <w:pPr>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表</w:t>
      </w:r>
      <w:r>
        <w:rPr>
          <w:rFonts w:hint="eastAsia"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rPr>
        <w:t xml:space="preserve"> 英国与中国</w:t>
      </w:r>
      <w:r>
        <w:rPr>
          <w:rFonts w:ascii="Times New Roman" w:hAnsi="Times New Roman" w:eastAsia="宋体" w:cs="Times New Roman"/>
          <w:color w:val="000000"/>
          <w:sz w:val="24"/>
          <w:szCs w:val="24"/>
        </w:rPr>
        <w:t>教育理念差异</w:t>
      </w:r>
      <w:r>
        <w:rPr>
          <w:rFonts w:hint="eastAsia" w:ascii="Times New Roman" w:hAnsi="Times New Roman" w:eastAsia="宋体" w:cs="Times New Roman"/>
          <w:sz w:val="24"/>
          <w:szCs w:val="24"/>
        </w:rPr>
        <w:t>对比</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65"/>
        <w:gridCol w:w="4764"/>
        <w:gridCol w:w="3517"/>
      </w:tblGrid>
      <w:tr w14:paraId="09640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Borders>
              <w:top w:val="single" w:color="000000" w:sz="12" w:space="0"/>
              <w:left w:val="nil"/>
              <w:bottom w:val="single" w:color="000000" w:sz="4" w:space="0"/>
              <w:right w:val="nil"/>
              <w:tl2br w:val="nil"/>
            </w:tcBorders>
            <w:shd w:val="clear" w:color="auto" w:fill="FFFFFF"/>
            <w:vAlign w:val="center"/>
          </w:tcPr>
          <w:p w14:paraId="5262FD0C">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维度</w:t>
            </w:r>
          </w:p>
        </w:tc>
        <w:tc>
          <w:tcPr>
            <w:tcW w:w="0" w:type="auto"/>
            <w:tcBorders>
              <w:top w:val="single" w:color="000000" w:sz="12" w:space="0"/>
              <w:left w:val="nil"/>
              <w:bottom w:val="single" w:color="000000" w:sz="4" w:space="0"/>
              <w:right w:val="nil"/>
            </w:tcBorders>
            <w:shd w:val="clear" w:color="auto" w:fill="FFFFFF"/>
            <w:vAlign w:val="center"/>
          </w:tcPr>
          <w:p w14:paraId="3A92A647">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英国中学体系</w:t>
            </w:r>
          </w:p>
        </w:tc>
        <w:tc>
          <w:tcPr>
            <w:tcW w:w="0" w:type="auto"/>
            <w:tcBorders>
              <w:top w:val="single" w:color="000000" w:sz="12" w:space="0"/>
              <w:left w:val="nil"/>
              <w:bottom w:val="single" w:color="000000" w:sz="4" w:space="0"/>
              <w:right w:val="nil"/>
            </w:tcBorders>
            <w:shd w:val="clear" w:color="auto" w:fill="FFFFFF"/>
            <w:vAlign w:val="center"/>
          </w:tcPr>
          <w:p w14:paraId="2701C15E">
            <w:pPr>
              <w:pStyle w:val="19"/>
              <w:spacing w:line="240" w:lineRule="auto"/>
              <w:jc w:val="center"/>
              <w:rPr>
                <w:rFonts w:ascii="Times New Roman" w:hAnsi="Times New Roman" w:cs="Times New Roman"/>
                <w:b w:val="0"/>
                <w:sz w:val="21"/>
                <w:szCs w:val="21"/>
              </w:rPr>
            </w:pPr>
            <w:r>
              <w:rPr>
                <w:rFonts w:ascii="Times New Roman" w:hAnsi="Times New Roman" w:cs="Times New Roman"/>
                <w:b w:val="0"/>
                <w:bCs/>
                <w:sz w:val="21"/>
                <w:szCs w:val="21"/>
              </w:rPr>
              <w:t>中国中学体系</w:t>
            </w:r>
          </w:p>
        </w:tc>
      </w:tr>
      <w:tr w14:paraId="16F2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Borders>
              <w:top w:val="single" w:color="000000" w:sz="4" w:space="0"/>
              <w:left w:val="nil"/>
              <w:bottom w:val="nil"/>
              <w:right w:val="nil"/>
            </w:tcBorders>
            <w:shd w:val="clear" w:color="auto" w:fill="FFFFFF"/>
            <w:vAlign w:val="center"/>
          </w:tcPr>
          <w:p w14:paraId="5DC35E0C">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核心目标</w:t>
            </w:r>
          </w:p>
        </w:tc>
        <w:tc>
          <w:tcPr>
            <w:tcW w:w="0" w:type="auto"/>
            <w:tcBorders>
              <w:top w:val="single" w:color="000000" w:sz="4" w:space="0"/>
              <w:left w:val="nil"/>
              <w:bottom w:val="nil"/>
              <w:right w:val="nil"/>
            </w:tcBorders>
            <w:shd w:val="clear" w:color="auto" w:fill="FFFFFF"/>
            <w:vAlign w:val="center"/>
          </w:tcPr>
          <w:p w14:paraId="2AFBD9FD">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培养独立思考、创造力、社会责任感，重视全面发展（学术</w:t>
            </w:r>
            <w:r>
              <w:rPr>
                <w:rFonts w:hint="eastAsia" w:ascii="Times New Roman" w:hAnsi="Times New Roman" w:cs="Times New Roman"/>
                <w:b w:val="0"/>
                <w:sz w:val="21"/>
                <w:szCs w:val="21"/>
              </w:rPr>
              <w:t>、</w:t>
            </w:r>
            <w:r>
              <w:rPr>
                <w:rFonts w:ascii="Times New Roman" w:hAnsi="Times New Roman" w:cs="Times New Roman"/>
                <w:b w:val="0"/>
                <w:sz w:val="21"/>
                <w:szCs w:val="21"/>
              </w:rPr>
              <w:t>兴趣</w:t>
            </w:r>
            <w:r>
              <w:rPr>
                <w:rFonts w:hint="eastAsia" w:ascii="Times New Roman" w:hAnsi="Times New Roman" w:cs="Times New Roman"/>
                <w:b w:val="0"/>
                <w:sz w:val="21"/>
                <w:szCs w:val="21"/>
              </w:rPr>
              <w:t>、</w:t>
            </w:r>
            <w:r>
              <w:rPr>
                <w:rFonts w:ascii="Times New Roman" w:hAnsi="Times New Roman" w:cs="Times New Roman"/>
                <w:b w:val="0"/>
                <w:sz w:val="21"/>
                <w:szCs w:val="21"/>
              </w:rPr>
              <w:t>软技能）</w:t>
            </w:r>
          </w:p>
        </w:tc>
        <w:tc>
          <w:tcPr>
            <w:tcW w:w="0" w:type="auto"/>
            <w:tcBorders>
              <w:top w:val="single" w:color="000000" w:sz="4" w:space="0"/>
              <w:left w:val="nil"/>
              <w:bottom w:val="nil"/>
              <w:right w:val="nil"/>
            </w:tcBorders>
            <w:shd w:val="clear" w:color="auto" w:fill="FFFFFF"/>
            <w:vAlign w:val="center"/>
          </w:tcPr>
          <w:p w14:paraId="1AE67A68">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以录取梦校为导向，侧重学科知识的深度掌握和应试能力</w:t>
            </w:r>
          </w:p>
        </w:tc>
      </w:tr>
      <w:tr w14:paraId="75F52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Borders>
              <w:top w:val="nil"/>
              <w:left w:val="nil"/>
              <w:bottom w:val="nil"/>
              <w:right w:val="nil"/>
            </w:tcBorders>
            <w:shd w:val="clear" w:color="auto" w:fill="FFFFFF"/>
            <w:vAlign w:val="center"/>
          </w:tcPr>
          <w:p w14:paraId="430DA5AD">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学生自主权</w:t>
            </w:r>
          </w:p>
        </w:tc>
        <w:tc>
          <w:tcPr>
            <w:tcW w:w="0" w:type="auto"/>
            <w:tcBorders>
              <w:top w:val="nil"/>
              <w:left w:val="nil"/>
              <w:bottom w:val="nil"/>
              <w:right w:val="nil"/>
            </w:tcBorders>
            <w:shd w:val="clear" w:color="auto" w:fill="FFFFFF"/>
            <w:vAlign w:val="center"/>
          </w:tcPr>
          <w:p w14:paraId="7D99C52C">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学生从GCSE阶段开始自主选课，高中阶段完全聚焦兴趣领域</w:t>
            </w:r>
          </w:p>
        </w:tc>
        <w:tc>
          <w:tcPr>
            <w:tcW w:w="0" w:type="auto"/>
            <w:tcBorders>
              <w:top w:val="nil"/>
              <w:left w:val="nil"/>
              <w:bottom w:val="nil"/>
              <w:right w:val="nil"/>
            </w:tcBorders>
            <w:shd w:val="clear" w:color="auto" w:fill="FFFFFF"/>
            <w:vAlign w:val="center"/>
          </w:tcPr>
          <w:p w14:paraId="0F2E1556">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课程选择权有限，核心科目由学校或政策规定</w:t>
            </w:r>
          </w:p>
        </w:tc>
      </w:tr>
      <w:tr w14:paraId="62C9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Borders>
              <w:top w:val="nil"/>
              <w:left w:val="nil"/>
              <w:bottom w:val="single" w:color="000000" w:sz="12" w:space="0"/>
              <w:right w:val="nil"/>
            </w:tcBorders>
            <w:shd w:val="clear" w:color="auto" w:fill="FFFFFF"/>
            <w:vAlign w:val="center"/>
          </w:tcPr>
          <w:p w14:paraId="647FE84D">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师生关系</w:t>
            </w:r>
          </w:p>
        </w:tc>
        <w:tc>
          <w:tcPr>
            <w:tcW w:w="0" w:type="auto"/>
            <w:tcBorders>
              <w:top w:val="nil"/>
              <w:left w:val="nil"/>
              <w:bottom w:val="single" w:color="000000" w:sz="12" w:space="0"/>
              <w:right w:val="nil"/>
            </w:tcBorders>
            <w:shd w:val="clear" w:color="auto" w:fill="FFFFFF"/>
            <w:vAlign w:val="center"/>
          </w:tcPr>
          <w:p w14:paraId="19FFB794">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师生互动平等，鼓励质疑和表达观点</w:t>
            </w:r>
          </w:p>
        </w:tc>
        <w:tc>
          <w:tcPr>
            <w:tcW w:w="0" w:type="auto"/>
            <w:tcBorders>
              <w:top w:val="nil"/>
              <w:left w:val="nil"/>
              <w:bottom w:val="single" w:color="000000" w:sz="12" w:space="0"/>
              <w:right w:val="nil"/>
            </w:tcBorders>
            <w:shd w:val="clear" w:color="auto" w:fill="FFFFFF"/>
            <w:vAlign w:val="center"/>
          </w:tcPr>
          <w:p w14:paraId="023267EF">
            <w:pPr>
              <w:pStyle w:val="19"/>
              <w:spacing w:line="240" w:lineRule="auto"/>
              <w:jc w:val="center"/>
              <w:rPr>
                <w:rFonts w:ascii="Times New Roman" w:hAnsi="Times New Roman" w:cs="Times New Roman"/>
                <w:b w:val="0"/>
                <w:sz w:val="21"/>
                <w:szCs w:val="21"/>
              </w:rPr>
            </w:pPr>
            <w:r>
              <w:rPr>
                <w:rFonts w:ascii="Times New Roman" w:hAnsi="Times New Roman" w:cs="Times New Roman"/>
                <w:b w:val="0"/>
                <w:sz w:val="21"/>
                <w:szCs w:val="21"/>
              </w:rPr>
              <w:t>学生以接受知识为主</w:t>
            </w:r>
          </w:p>
        </w:tc>
      </w:tr>
    </w:tbl>
    <w:p w14:paraId="6E2F2E34">
      <w:pPr>
        <w:pStyle w:val="3"/>
        <w:spacing w:before="260" w:after="260" w:line="336" w:lineRule="auto"/>
        <w:rPr>
          <w:rFonts w:ascii="Times New Roman" w:hAnsi="Times New Roman" w:cs="Times New Roman"/>
        </w:rPr>
      </w:pPr>
      <w:r>
        <w:rPr>
          <w:rFonts w:ascii="Times New Roman" w:hAnsi="Times New Roman" w:eastAsia="黑体" w:cs="Times New Roman"/>
        </w:rPr>
        <w:t>四、中英初中课程表差异的影响因素分析</w:t>
      </w:r>
    </w:p>
    <w:p w14:paraId="230C84FE">
      <w:pPr>
        <w:pStyle w:val="4"/>
        <w:spacing w:before="260" w:after="260" w:line="336" w:lineRule="auto"/>
        <w:rPr>
          <w:rFonts w:ascii="Times New Roman" w:hAnsi="Times New Roman" w:cs="Times New Roman"/>
        </w:rPr>
      </w:pPr>
      <w:r>
        <w:rPr>
          <w:rFonts w:ascii="Times New Roman" w:hAnsi="Times New Roman" w:cs="Times New Roman"/>
        </w:rPr>
        <w:t>4.1文化背景因素</w:t>
      </w:r>
    </w:p>
    <w:p w14:paraId="3256C0BE">
      <w:pPr>
        <w:rPr>
          <w:rFonts w:ascii="Times New Roman" w:hAnsi="Times New Roman" w:eastAsia="宋体" w:cs="Times New Roman"/>
          <w:sz w:val="24"/>
          <w:szCs w:val="24"/>
        </w:rPr>
      </w:pPr>
      <w:r>
        <w:rPr>
          <w:rFonts w:ascii="Times New Roman" w:hAnsi="Times New Roman" w:eastAsia="宋体" w:cs="Times New Roman"/>
          <w:sz w:val="24"/>
          <w:szCs w:val="24"/>
        </w:rPr>
        <w:t>中国文化强调知识的传承和积累，重视集体主义和纪律性。这种文化背景使得中国初中教育更注重基础知识的传授和学生的纪律管理，课程设置相对统一，教学方式以教师讲授为主。而英国文化强调个人主义、创新和独立思考，因此英国初中教育更注重学生的个性发展和自主探究能力的培养，课程设置更加灵活多样，教学方式也更加注重学生的参与和体验。</w:t>
      </w:r>
    </w:p>
    <w:p w14:paraId="452D02E7">
      <w:pPr>
        <w:pStyle w:val="4"/>
        <w:spacing w:before="260" w:after="260" w:line="336" w:lineRule="auto"/>
        <w:rPr>
          <w:rFonts w:ascii="Times New Roman" w:hAnsi="Times New Roman" w:cs="Times New Roman"/>
        </w:rPr>
      </w:pPr>
      <w:r>
        <w:rPr>
          <w:rFonts w:ascii="Times New Roman" w:hAnsi="Times New Roman" w:cs="Times New Roman"/>
        </w:rPr>
        <w:t>4.2教育传统因素</w:t>
      </w:r>
    </w:p>
    <w:p w14:paraId="6AD53580">
      <w:pPr>
        <w:rPr>
          <w:rFonts w:ascii="Times New Roman" w:hAnsi="Times New Roman" w:eastAsia="宋体" w:cs="Times New Roman"/>
          <w:sz w:val="24"/>
          <w:szCs w:val="24"/>
        </w:rPr>
      </w:pPr>
      <w:r>
        <w:rPr>
          <w:rFonts w:ascii="Times New Roman" w:hAnsi="Times New Roman" w:eastAsia="宋体" w:cs="Times New Roman"/>
          <w:sz w:val="24"/>
          <w:szCs w:val="24"/>
        </w:rPr>
        <w:t>中国有着悠久的科举制度传统，考试在教育中占据重要地位。这种教育传统导致中国初中教育在评估体系上高度依赖考试成绩，以升学为主要目标。而英国有着深厚的精英教育传统，注重培养学生的综合素质和领导能力，因此在课程设置和教学方式上更注重学生的实践能力和批判性思维的培养。</w:t>
      </w:r>
    </w:p>
    <w:p w14:paraId="10726AAF">
      <w:pPr>
        <w:pStyle w:val="4"/>
        <w:spacing w:before="260" w:after="260" w:line="336" w:lineRule="auto"/>
        <w:rPr>
          <w:rFonts w:ascii="Times New Roman" w:hAnsi="Times New Roman" w:cs="Times New Roman"/>
        </w:rPr>
      </w:pPr>
      <w:r>
        <w:rPr>
          <w:rFonts w:ascii="Times New Roman" w:hAnsi="Times New Roman" w:cs="Times New Roman"/>
        </w:rPr>
        <w:t>4.3社会发展需求因素</w:t>
      </w:r>
    </w:p>
    <w:p w14:paraId="107386BB">
      <w:pPr>
        <w:rPr>
          <w:rFonts w:ascii="Times New Roman" w:hAnsi="Times New Roman" w:eastAsia="宋体" w:cs="Times New Roman"/>
          <w:sz w:val="24"/>
          <w:szCs w:val="24"/>
        </w:rPr>
      </w:pPr>
      <w:r>
        <w:rPr>
          <w:rFonts w:ascii="Times New Roman" w:hAnsi="Times New Roman" w:eastAsia="宋体" w:cs="Times New Roman"/>
          <w:sz w:val="24"/>
          <w:szCs w:val="24"/>
        </w:rPr>
        <w:t>随着中国经济的快速发展，对高素质人才的需求不断增加。中国初中教育需要为学生打下坚实的学科基础，以满足未来社会对专业人才的需求。而英国作为发达国家，社会更加多元化，对人才的创新能力和综合素质要求较高。因此英国初中教育注重培养学生的创造力、社会责任感等软技能，以适应社会的多元化发展需求。</w:t>
      </w:r>
    </w:p>
    <w:p w14:paraId="3B046E87">
      <w:pPr>
        <w:pStyle w:val="3"/>
        <w:spacing w:before="260" w:after="260" w:line="336" w:lineRule="auto"/>
        <w:rPr>
          <w:rFonts w:ascii="Times New Roman" w:hAnsi="Times New Roman" w:cs="Times New Roman"/>
        </w:rPr>
      </w:pPr>
      <w:r>
        <w:rPr>
          <w:rFonts w:ascii="Times New Roman" w:hAnsi="Times New Roman" w:eastAsia="黑体" w:cs="Times New Roman"/>
        </w:rPr>
        <w:t>五、研究结论</w:t>
      </w:r>
    </w:p>
    <w:p w14:paraId="34110C88">
      <w:pPr>
        <w:rPr>
          <w:rFonts w:ascii="Times New Roman" w:hAnsi="Times New Roman" w:eastAsia="宋体" w:cs="Times New Roman"/>
          <w:sz w:val="24"/>
          <w:szCs w:val="24"/>
        </w:rPr>
      </w:pPr>
      <w:r>
        <w:rPr>
          <w:rFonts w:ascii="Times New Roman" w:hAnsi="Times New Roman" w:eastAsia="宋体" w:cs="Times New Roman"/>
          <w:sz w:val="24"/>
          <w:szCs w:val="24"/>
        </w:rPr>
        <w:t>中英初中教育在学制结构、课程设置、教学方式、评估体系与教育理念等方面存在显著差异，深刻映射出各自的文化传统、社会需求与发展路径。英国初中课程灵活多元，强调兴趣导向与个性发展，注重批判性思维、跨文化素养及综合素质培养，升学路径多样；但对学生自主管理能力要求较高，且优质教育资源分布不均，私立学校费用高昂。相较而言，中国初中教育以系统扎实的基础知识训练见长，尤其在数理等学科表现突出，公共教育成本较低、覆盖面广；但长期受应试导向影响，学生创新意识、实践能力与社会参与机会相对不足，课外活动与过程性评价机制尚待完善。</w:t>
      </w:r>
    </w:p>
    <w:p w14:paraId="0D1A8EEF">
      <w:pPr>
        <w:rPr>
          <w:rFonts w:ascii="Times New Roman" w:hAnsi="Times New Roman" w:eastAsia="宋体" w:cs="Times New Roman"/>
          <w:sz w:val="24"/>
          <w:szCs w:val="24"/>
        </w:rPr>
      </w:pPr>
      <w:r>
        <w:rPr>
          <w:rFonts w:ascii="Times New Roman" w:hAnsi="Times New Roman" w:eastAsia="宋体" w:cs="Times New Roman"/>
          <w:sz w:val="24"/>
          <w:szCs w:val="24"/>
        </w:rPr>
        <w:t>基于此，两国教育亟需互鉴共进：中国可适度增强课程弹性，扩大选修空间，强化探究式学习与项目实践，健全涵盖品德、身心、审美、劳动等维度的综合素质评价体系；英国则可借鉴中国在知识建构逻辑性、教学组织效率及基础能力分层落实方面的经验，优化核心学科的教学深度与连贯性。这一双向对话不仅关乎教育技术层面的调适，更指向育人本质的深层共识——即在夯实根基与激发潜能之间寻求动态平衡，在标准化保障与个性化成长之间构建弹性空间。在全球化纵深发展与教育变革加速演进的当下，唯有超越制度优劣的简单比较，立足本土实际、开放包容地汲取他山之石，才能真正推动初中教育从</w:t>
      </w:r>
      <w:r>
        <w:rPr>
          <w:rFonts w:hint="eastAsia" w:ascii="Times New Roman" w:hAnsi="Times New Roman" w:eastAsia="宋体" w:cs="Times New Roman"/>
          <w:sz w:val="24"/>
          <w:szCs w:val="24"/>
        </w:rPr>
        <w:t>“</w:t>
      </w:r>
      <w:r>
        <w:rPr>
          <w:rFonts w:ascii="Times New Roman" w:hAnsi="Times New Roman" w:eastAsia="宋体" w:cs="Times New Roman"/>
          <w:sz w:val="24"/>
          <w:szCs w:val="24"/>
        </w:rPr>
        <w:t>育分</w:t>
      </w:r>
      <w:r>
        <w:rPr>
          <w:rFonts w:hint="eastAsia" w:ascii="Times New Roman" w:hAnsi="Times New Roman" w:eastAsia="宋体" w:cs="Times New Roman"/>
          <w:sz w:val="24"/>
          <w:szCs w:val="24"/>
        </w:rPr>
        <w:t>”</w:t>
      </w:r>
      <w:r>
        <w:rPr>
          <w:rFonts w:ascii="Times New Roman" w:hAnsi="Times New Roman" w:eastAsia="宋体" w:cs="Times New Roman"/>
          <w:sz w:val="24"/>
          <w:szCs w:val="24"/>
        </w:rPr>
        <w:t>走向</w:t>
      </w:r>
      <w:r>
        <w:rPr>
          <w:rFonts w:hint="eastAsia" w:ascii="Times New Roman" w:hAnsi="Times New Roman" w:eastAsia="宋体" w:cs="Times New Roman"/>
          <w:sz w:val="24"/>
          <w:szCs w:val="24"/>
        </w:rPr>
        <w:t>“</w:t>
      </w:r>
      <w:r>
        <w:rPr>
          <w:rFonts w:ascii="Times New Roman" w:hAnsi="Times New Roman" w:eastAsia="宋体" w:cs="Times New Roman"/>
          <w:sz w:val="24"/>
          <w:szCs w:val="24"/>
        </w:rPr>
        <w:t>育人</w:t>
      </w:r>
      <w:r>
        <w:rPr>
          <w:rFonts w:hint="eastAsia" w:ascii="Times New Roman" w:hAnsi="Times New Roman" w:eastAsia="宋体" w:cs="Times New Roman"/>
          <w:sz w:val="24"/>
          <w:szCs w:val="24"/>
        </w:rPr>
        <w:t>”</w:t>
      </w:r>
      <w:r>
        <w:rPr>
          <w:rFonts w:ascii="Times New Roman" w:hAnsi="Times New Roman" w:eastAsia="宋体" w:cs="Times New Roman"/>
          <w:sz w:val="24"/>
          <w:szCs w:val="24"/>
        </w:rPr>
        <w:t>，助力每一个青少年实现有根基的自由生长与有担当的终身发展。</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708" w:footer="708"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F934A">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ED60B6">
                          <w:pPr>
                            <w:pStyle w:val="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9ED60B6">
                    <w:pPr>
                      <w:pStyle w:val="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EA402">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F10F8">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B8EA6">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0366C">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3406E">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displayBackgroundShape w:val="1"/>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922"/>
    <w:rsid w:val="000011D5"/>
    <w:rsid w:val="00017F3E"/>
    <w:rsid w:val="000708BD"/>
    <w:rsid w:val="000B5518"/>
    <w:rsid w:val="00175781"/>
    <w:rsid w:val="001B406F"/>
    <w:rsid w:val="002054C5"/>
    <w:rsid w:val="00336FE0"/>
    <w:rsid w:val="003514EA"/>
    <w:rsid w:val="00356073"/>
    <w:rsid w:val="003807E4"/>
    <w:rsid w:val="00386BF8"/>
    <w:rsid w:val="00407547"/>
    <w:rsid w:val="004634DF"/>
    <w:rsid w:val="004B1922"/>
    <w:rsid w:val="00512B86"/>
    <w:rsid w:val="00541D4F"/>
    <w:rsid w:val="00550FD3"/>
    <w:rsid w:val="00593863"/>
    <w:rsid w:val="005E266B"/>
    <w:rsid w:val="00695C58"/>
    <w:rsid w:val="007053AA"/>
    <w:rsid w:val="00806AA0"/>
    <w:rsid w:val="008C60F9"/>
    <w:rsid w:val="00920E04"/>
    <w:rsid w:val="009D37B2"/>
    <w:rsid w:val="009F07BA"/>
    <w:rsid w:val="00AF2E0C"/>
    <w:rsid w:val="00B65B52"/>
    <w:rsid w:val="00BF5E39"/>
    <w:rsid w:val="00C10457"/>
    <w:rsid w:val="00C13EEB"/>
    <w:rsid w:val="00C94251"/>
    <w:rsid w:val="00CA7E5F"/>
    <w:rsid w:val="00CC05A2"/>
    <w:rsid w:val="00D56B5C"/>
    <w:rsid w:val="00E01E43"/>
    <w:rsid w:val="00E02E51"/>
    <w:rsid w:val="00EA7B5B"/>
    <w:rsid w:val="00F902FF"/>
    <w:rsid w:val="00FF4299"/>
    <w:rsid w:val="1998697F"/>
    <w:rsid w:val="20230750"/>
    <w:rsid w:val="225D0766"/>
    <w:rsid w:val="36532185"/>
    <w:rsid w:val="39B0341A"/>
    <w:rsid w:val="3CD87927"/>
    <w:rsid w:val="5023591C"/>
    <w:rsid w:val="6C316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heme="minorHAnsi" w:hAnsiTheme="minorHAnsi" w:eastAsiaTheme="minorEastAsia" w:cstheme="minorBidi"/>
      <w:sz w:val="21"/>
      <w:szCs w:val="22"/>
      <w:lang w:val="en-US" w:eastAsia="zh-CN" w:bidi="ar-SA"/>
    </w:rPr>
  </w:style>
  <w:style w:type="paragraph" w:styleId="2">
    <w:name w:val="heading 1"/>
    <w:next w:val="1"/>
    <w:qFormat/>
    <w:uiPriority w:val="0"/>
    <w:pPr>
      <w:spacing w:before="120" w:after="120" w:line="1056" w:lineRule="atLeast"/>
      <w:jc w:val="center"/>
      <w:outlineLvl w:val="0"/>
    </w:pPr>
    <w:rPr>
      <w:rFonts w:ascii="宋体" w:hAnsi="宋体" w:eastAsia="宋体" w:cs="宋体"/>
      <w:b/>
      <w:bCs/>
      <w:color w:val="000000"/>
      <w:sz w:val="44"/>
      <w:szCs w:val="44"/>
      <w:lang w:val="en-US" w:eastAsia="zh-CN" w:bidi="ar-SA"/>
    </w:rPr>
  </w:style>
  <w:style w:type="paragraph" w:styleId="3">
    <w:name w:val="heading 2"/>
    <w:next w:val="1"/>
    <w:qFormat/>
    <w:uiPriority w:val="0"/>
    <w:pPr>
      <w:spacing w:before="120" w:after="120" w:line="560" w:lineRule="atLeast"/>
      <w:outlineLvl w:val="1"/>
    </w:pPr>
    <w:rPr>
      <w:rFonts w:ascii="宋体" w:hAnsi="宋体" w:eastAsia="宋体" w:cs="宋体"/>
      <w:b/>
      <w:bCs/>
      <w:color w:val="000000"/>
      <w:sz w:val="32"/>
      <w:szCs w:val="32"/>
      <w:lang w:val="en-US" w:eastAsia="zh-CN" w:bidi="ar-SA"/>
    </w:rPr>
  </w:style>
  <w:style w:type="paragraph" w:styleId="4">
    <w:name w:val="heading 3"/>
    <w:next w:val="1"/>
    <w:qFormat/>
    <w:uiPriority w:val="0"/>
    <w:pPr>
      <w:spacing w:before="120" w:after="120" w:line="420" w:lineRule="atLeast"/>
      <w:outlineLvl w:val="2"/>
    </w:pPr>
    <w:rPr>
      <w:rFonts w:ascii="宋体" w:hAnsi="宋体" w:eastAsia="宋体" w:cs="宋体"/>
      <w:b/>
      <w:bCs/>
      <w:color w:val="000000"/>
      <w:sz w:val="24"/>
      <w:szCs w:val="24"/>
      <w:lang w:val="en-US" w:eastAsia="zh-CN" w:bidi="ar-SA"/>
    </w:rPr>
  </w:style>
  <w:style w:type="paragraph" w:styleId="5">
    <w:name w:val="heading 4"/>
    <w:next w:val="1"/>
    <w:qFormat/>
    <w:uiPriority w:val="0"/>
    <w:pPr>
      <w:spacing w:before="120" w:after="120" w:line="372" w:lineRule="atLeast"/>
      <w:outlineLvl w:val="3"/>
    </w:pPr>
    <w:rPr>
      <w:rFonts w:ascii="黑体" w:hAnsi="黑体" w:eastAsia="黑体" w:cs="黑体"/>
      <w:b/>
      <w:bCs/>
      <w:color w:val="000000"/>
      <w:sz w:val="24"/>
      <w:szCs w:val="24"/>
      <w:lang w:val="en-US" w:eastAsia="zh-CN" w:bidi="ar-SA"/>
    </w:rPr>
  </w:style>
  <w:style w:type="paragraph" w:styleId="6">
    <w:name w:val="heading 5"/>
    <w:next w:val="1"/>
    <w:qFormat/>
    <w:uiPriority w:val="0"/>
    <w:pPr>
      <w:spacing w:before="120" w:after="120" w:line="372" w:lineRule="atLeast"/>
      <w:outlineLvl w:val="4"/>
    </w:pPr>
    <w:rPr>
      <w:rFonts w:ascii="宋体" w:hAnsi="宋体" w:eastAsia="宋体" w:cs="宋体"/>
      <w:b/>
      <w:bCs/>
      <w:color w:val="000000"/>
      <w:sz w:val="24"/>
      <w:szCs w:val="24"/>
      <w:lang w:val="en-US" w:eastAsia="zh-CN" w:bidi="ar-SA"/>
    </w:rPr>
  </w:style>
  <w:style w:type="paragraph" w:styleId="7">
    <w:name w:val="heading 6"/>
    <w:next w:val="1"/>
    <w:qFormat/>
    <w:uiPriority w:val="0"/>
    <w:pPr>
      <w:spacing w:before="120" w:after="120" w:line="316" w:lineRule="atLeast"/>
      <w:outlineLvl w:val="5"/>
    </w:pPr>
    <w:rPr>
      <w:rFonts w:ascii="黑体" w:hAnsi="黑体" w:eastAsia="黑体" w:cs="黑体"/>
      <w:b/>
      <w:bCs/>
      <w:color w:val="000000"/>
      <w:sz w:val="24"/>
      <w:szCs w:val="24"/>
      <w:lang w:val="en-US" w:eastAsia="zh-CN" w:bidi="ar-SA"/>
    </w:rPr>
  </w:style>
  <w:style w:type="character" w:default="1" w:styleId="14">
    <w:name w:val="Default Paragraph Font"/>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footnote text"/>
    <w:link w:val="18"/>
    <w:semiHidden/>
    <w:unhideWhenUsed/>
    <w:qFormat/>
    <w:uiPriority w:val="99"/>
    <w:rPr>
      <w:rFonts w:asciiTheme="minorHAnsi" w:hAnsiTheme="minorHAnsi" w:eastAsiaTheme="minorEastAsia" w:cstheme="minorBidi"/>
      <w:lang w:val="en-US" w:eastAsia="zh-CN" w:bidi="ar-SA"/>
    </w:rPr>
  </w:style>
  <w:style w:type="paragraph" w:styleId="11">
    <w:name w:val="Title"/>
    <w:qFormat/>
    <w:uiPriority w:val="0"/>
    <w:pPr>
      <w:spacing w:before="120" w:after="120" w:line="1056" w:lineRule="atLeast"/>
      <w:jc w:val="center"/>
    </w:pPr>
    <w:rPr>
      <w:rFonts w:ascii="宋体" w:hAnsi="宋体" w:eastAsia="宋体" w:cs="宋体"/>
      <w:b/>
      <w:bCs/>
      <w:color w:val="000000"/>
      <w:sz w:val="44"/>
      <w:szCs w:val="44"/>
      <w:lang w:val="en-US" w:eastAsia="zh-CN" w:bidi="ar-SA"/>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unhideWhenUsed/>
    <w:qFormat/>
    <w:uiPriority w:val="99"/>
    <w:rPr>
      <w:color w:val="0563C1"/>
      <w:u w:val="single"/>
    </w:rPr>
  </w:style>
  <w:style w:type="character" w:styleId="16">
    <w:name w:val="footnote reference"/>
    <w:semiHidden/>
    <w:unhideWhenUsed/>
    <w:qFormat/>
    <w:uiPriority w:val="99"/>
    <w:rPr>
      <w:vertAlign w:val="superscript"/>
    </w:rPr>
  </w:style>
  <w:style w:type="paragraph" w:styleId="17">
    <w:name w:val="List Paragraph"/>
    <w:qFormat/>
    <w:uiPriority w:val="0"/>
    <w:pPr>
      <w:spacing w:before="120" w:after="120" w:line="360" w:lineRule="atLeast"/>
      <w:ind w:firstLine="480"/>
    </w:pPr>
    <w:rPr>
      <w:rFonts w:ascii="微软雅黑" w:hAnsi="微软雅黑" w:eastAsia="微软雅黑" w:cs="微软雅黑"/>
      <w:color w:val="000000"/>
      <w:sz w:val="24"/>
      <w:szCs w:val="24"/>
      <w:lang w:val="en-US" w:eastAsia="zh-CN" w:bidi="ar-SA"/>
    </w:rPr>
  </w:style>
  <w:style w:type="character" w:customStyle="1" w:styleId="18">
    <w:name w:val="脚注文本 字符"/>
    <w:link w:val="10"/>
    <w:semiHidden/>
    <w:unhideWhenUsed/>
    <w:qFormat/>
    <w:uiPriority w:val="99"/>
    <w:rPr>
      <w:sz w:val="20"/>
      <w:szCs w:val="20"/>
    </w:rPr>
  </w:style>
  <w:style w:type="paragraph" w:customStyle="1" w:styleId="19">
    <w:name w:val="_Style 13"/>
    <w:qFormat/>
    <w:uiPriority w:val="0"/>
    <w:pPr>
      <w:spacing w:before="120" w:after="120" w:line="360" w:lineRule="atLeast"/>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5554</Words>
  <Characters>5870</Characters>
  <Lines>43</Lines>
  <Paragraphs>12</Paragraphs>
  <TotalTime>3</TotalTime>
  <ScaleCrop>false</ScaleCrop>
  <LinksUpToDate>false</LinksUpToDate>
  <CharactersWithSpaces>5906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2026-03-13T03:34:00Z</dcterms:created>
  <dc:creator>Un-named</dc:creator>
  <cp:lastModifiedBy>by</cp:lastModifiedBy>
  <dcterms:modified xsi:type="dcterms:W3CDTF">2026-03-13T07:48:47Z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001191340100343788434A00000","ProduceID":"8qv7l73t5i5tqtzosatgdhm2ky01gpiihjs5","ReserveCode1":"KXH+yj7sbYvM2D4moW/f7WwEkNxx4epyaFHh5y9e","ContentPropagator":"001191340100343788434A00000","PropatorID":"8qv7l73t5i5tqtzosatgdhm2ky01gpiihjs5","ReserveCode2":"KXH+yj7sbYvM2D4moW/f7WwEkNxx4epyaFHh5y9e"}</vt:lpwstr>
  </property>
  <property fmtid="{D5CDD505-2E9C-101B-9397-08002B2CF9AE}" pid="3" name="KSOTemplateDocerSaveRecord">
    <vt:lpwstr>eyJoZGlkIjoiNTk2MDA1YWQ3YTJiZTMxNDM3Yzc4ZGUyZjQ5ZGZkNDMiLCJ1c2VySWQiOiI2OTkyODE3NTUifQ==</vt:lpwstr>
  </property>
  <property fmtid="{D5CDD505-2E9C-101B-9397-08002B2CF9AE}" pid="4" name="KSOProductBuildVer">
    <vt:lpwstr>2052-12.1.0.25225</vt:lpwstr>
  </property>
  <property fmtid="{D5CDD505-2E9C-101B-9397-08002B2CF9AE}" pid="5" name="ICV">
    <vt:lpwstr>2A129D57F2164D6DACDE006384DA127A_13</vt:lpwstr>
  </property>
</Properties>
</file>