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2FEBC3">
      <w:pPr>
        <w:pStyle w:val="2"/>
        <w:spacing w:before="320" w:beforeAutospacing="0" w:after="100" w:afterAutospacing="0" w:line="300" w:lineRule="auto"/>
        <w:ind w:left="0" w:leftChars="0" w:right="0" w:rightChars="0"/>
        <w:jc w:val="center"/>
        <w:rPr>
          <w:rFonts w:hint="eastAsia" w:ascii="黑体" w:hAnsi="宋体" w:cs="黑体"/>
          <w:sz w:val="32"/>
          <w:szCs w:val="32"/>
          <w:lang w:eastAsia="zh-CN"/>
        </w:rPr>
      </w:pPr>
      <w:bookmarkStart w:id="0" w:name="_GoBack"/>
      <w:bookmarkEnd w:id="0"/>
      <w:r>
        <w:rPr>
          <w:rFonts w:hint="eastAsia" w:ascii="黑体" w:hAnsi="宋体" w:cs="黑体"/>
          <w:sz w:val="32"/>
          <w:szCs w:val="32"/>
          <w:lang w:eastAsia="zh-CN"/>
        </w:rPr>
        <w:t>《</w:t>
      </w:r>
      <w:r>
        <w:rPr>
          <w:rFonts w:hint="default" w:ascii="黑体" w:hAnsi="宋体" w:eastAsia="黑体" w:cs="黑体"/>
          <w:sz w:val="32"/>
          <w:szCs w:val="32"/>
        </w:rPr>
        <w:t>中国和英</w:t>
      </w:r>
      <w:r>
        <w:rPr>
          <w:rFonts w:hint="eastAsia" w:ascii="黑体" w:hAnsi="宋体" w:cs="黑体"/>
          <w:sz w:val="32"/>
          <w:szCs w:val="32"/>
          <w:lang w:val="en-US" w:eastAsia="zh-CN"/>
        </w:rPr>
        <w:t>联邦国家（英联邦国家、澳大利亚）</w:t>
      </w:r>
      <w:r>
        <w:rPr>
          <w:rFonts w:hint="default" w:ascii="黑体" w:hAnsi="宋体" w:eastAsia="黑体" w:cs="黑体"/>
          <w:sz w:val="32"/>
          <w:szCs w:val="32"/>
        </w:rPr>
        <w:t>中学生课程对比研究</w:t>
      </w:r>
      <w:r>
        <w:rPr>
          <w:rFonts w:hint="eastAsia" w:ascii="黑体" w:hAnsi="宋体" w:cs="黑体"/>
          <w:sz w:val="32"/>
          <w:szCs w:val="32"/>
          <w:lang w:eastAsia="zh-CN"/>
        </w:rPr>
        <w:t>》</w:t>
      </w:r>
    </w:p>
    <w:p w14:paraId="6C915673">
      <w:pPr>
        <w:jc w:val="center"/>
        <w:rPr>
          <w:rFonts w:hint="default" w:ascii="黑体" w:hAnsi="宋体" w:eastAsia="黑体" w:cs="黑体"/>
          <w:b/>
          <w:bCs/>
          <w:kern w:val="44"/>
          <w:sz w:val="32"/>
          <w:szCs w:val="32"/>
          <w:lang w:val="en-US" w:eastAsia="zh-CN" w:bidi="ar-SA"/>
        </w:rPr>
      </w:pPr>
      <w:r>
        <w:rPr>
          <w:rFonts w:hint="eastAsia" w:ascii="黑体" w:hAnsi="宋体" w:eastAsia="黑体" w:cs="黑体"/>
          <w:b/>
          <w:bCs/>
          <w:kern w:val="44"/>
          <w:sz w:val="32"/>
          <w:szCs w:val="32"/>
          <w:lang w:val="en-US" w:eastAsia="zh-CN" w:bidi="ar-SA"/>
        </w:rPr>
        <w:t>开题报告</w:t>
      </w:r>
    </w:p>
    <w:p w14:paraId="7C1D154F">
      <w:pPr>
        <w:pStyle w:val="3"/>
        <w:spacing w:before="320" w:beforeAutospacing="0" w:after="100" w:afterAutospacing="0" w:line="300" w:lineRule="auto"/>
        <w:ind w:left="0" w:leftChars="0" w:right="0" w:rightChars="0"/>
        <w:rPr>
          <w:rFonts w:hint="default" w:ascii="黑体" w:hAnsi="宋体" w:eastAsia="黑体" w:cs="黑体"/>
          <w:sz w:val="28"/>
          <w:szCs w:val="28"/>
        </w:rPr>
      </w:pPr>
      <w:r>
        <w:rPr>
          <w:rFonts w:hint="default" w:ascii="黑体" w:hAnsi="宋体" w:eastAsia="黑体" w:cs="黑体"/>
          <w:sz w:val="28"/>
          <w:szCs w:val="28"/>
        </w:rPr>
        <w:t>一、研究背景与意义</w:t>
      </w:r>
    </w:p>
    <w:p w14:paraId="0C7084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right="0" w:rightChars="0" w:firstLine="480" w:firstLineChars="200"/>
        <w:textAlignment w:val="auto"/>
        <w:rPr>
          <w:rFonts w:hint="default" w:ascii="宋体" w:hAnsi="宋体" w:eastAsia="宋体" w:cs="宋体"/>
          <w:sz w:val="24"/>
          <w:szCs w:val="24"/>
        </w:rPr>
      </w:pPr>
      <w:r>
        <w:rPr>
          <w:rFonts w:hint="default" w:ascii="宋体" w:hAnsi="宋体" w:eastAsia="宋体" w:cs="宋体"/>
          <w:sz w:val="24"/>
          <w:szCs w:val="24"/>
        </w:rPr>
        <w:t>课程作为学校教育教学活动的重要载体，直接反映了教育体系的价值取向、培养目标和教学策略。中国与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英联邦国家</w:t>
      </w:r>
      <w:r>
        <w:rPr>
          <w:rFonts w:hint="default" w:ascii="宋体" w:hAnsi="宋体" w:eastAsia="宋体" w:cs="宋体"/>
          <w:sz w:val="24"/>
          <w:szCs w:val="24"/>
        </w:rPr>
        <w:t>作为东西方教育体系的典型代表，在中等教育阶段的课程设置、教学安排等方面存在显著差异。随着全球化教育交流的深入，比较研究两国中学生课程表的结构特征、内容分配及实施效果，对于优化我国中学课程体系、提升教育质量具有重要的理论与实践意义。</w:t>
      </w:r>
    </w:p>
    <w:p w14:paraId="7031D9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right="0" w:rightChars="0" w:firstLine="480" w:firstLineChars="200"/>
        <w:textAlignment w:val="auto"/>
        <w:rPr>
          <w:rFonts w:hint="default" w:ascii="宋体" w:hAnsi="宋体" w:eastAsia="宋体" w:cs="宋体"/>
          <w:sz w:val="24"/>
          <w:szCs w:val="24"/>
        </w:rPr>
      </w:pPr>
      <w:r>
        <w:rPr>
          <w:rFonts w:hint="default" w:ascii="宋体" w:hAnsi="宋体" w:eastAsia="宋体" w:cs="宋体"/>
          <w:sz w:val="24"/>
          <w:szCs w:val="24"/>
        </w:rPr>
        <w:t>我国中学教育长期以来以应试为导向，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课程</w:t>
      </w:r>
      <w:r>
        <w:rPr>
          <w:rFonts w:hint="default" w:ascii="宋体" w:hAnsi="宋体" w:eastAsia="宋体" w:cs="宋体"/>
          <w:sz w:val="24"/>
          <w:szCs w:val="24"/>
        </w:rPr>
        <w:t>呈现出学科知识密集、课时安排紧凑的特点；而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英联邦国家</w:t>
      </w:r>
      <w:r>
        <w:rPr>
          <w:rFonts w:hint="default" w:ascii="宋体" w:hAnsi="宋体" w:eastAsia="宋体" w:cs="宋体"/>
          <w:sz w:val="24"/>
          <w:szCs w:val="24"/>
        </w:rPr>
        <w:t>中学教育更注重学生综合素质培养，课程设置相对灵活多元。通过对比分析两国课程表的异同，能够为我国基础教育课程改革提供有益借鉴，推动从“知识传授”向“素养培育”的转变，促进学生全面发展。</w:t>
      </w:r>
    </w:p>
    <w:p w14:paraId="3DFAF02B">
      <w:pPr>
        <w:pStyle w:val="3"/>
        <w:spacing w:before="320" w:beforeAutospacing="0" w:after="100" w:afterAutospacing="0" w:line="300" w:lineRule="auto"/>
        <w:ind w:left="0" w:leftChars="0" w:right="0" w:rightChars="0"/>
        <w:rPr>
          <w:rFonts w:hint="default" w:ascii="黑体" w:hAnsi="宋体" w:eastAsia="黑体" w:cs="黑体"/>
          <w:sz w:val="28"/>
          <w:szCs w:val="28"/>
        </w:rPr>
      </w:pPr>
      <w:r>
        <w:rPr>
          <w:rFonts w:hint="default" w:ascii="黑体" w:hAnsi="宋体" w:eastAsia="黑体" w:cs="黑体"/>
          <w:sz w:val="28"/>
          <w:szCs w:val="28"/>
        </w:rPr>
        <w:t>二、国内外研究现状</w:t>
      </w:r>
    </w:p>
    <w:p w14:paraId="011E5288">
      <w:pPr>
        <w:pStyle w:val="4"/>
        <w:spacing w:before="240" w:beforeAutospacing="0" w:after="100" w:afterAutospacing="0" w:line="300" w:lineRule="auto"/>
        <w:ind w:left="0" w:leftChars="0" w:right="0" w:rightChars="0"/>
        <w:rPr>
          <w:rFonts w:hint="default" w:ascii="黑体" w:hAnsi="宋体" w:eastAsia="黑体" w:cs="黑体"/>
          <w:sz w:val="26"/>
          <w:szCs w:val="26"/>
        </w:rPr>
      </w:pPr>
      <w:r>
        <w:rPr>
          <w:rFonts w:hint="default" w:ascii="黑体" w:hAnsi="宋体" w:eastAsia="黑体" w:cs="黑体"/>
          <w:sz w:val="26"/>
          <w:szCs w:val="26"/>
        </w:rPr>
        <w:t>（一国内研究现状</w:t>
      </w:r>
    </w:p>
    <w:p w14:paraId="274C20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right="0" w:rightChars="0" w:firstLine="480" w:firstLineChars="200"/>
        <w:textAlignment w:val="auto"/>
        <w:rPr>
          <w:rFonts w:hint="default" w:ascii="宋体" w:hAnsi="宋体" w:eastAsia="宋体" w:cs="宋体"/>
          <w:sz w:val="24"/>
          <w:szCs w:val="24"/>
        </w:rPr>
      </w:pPr>
      <w:r>
        <w:rPr>
          <w:rFonts w:hint="default" w:ascii="宋体" w:hAnsi="宋体" w:eastAsia="宋体" w:cs="宋体"/>
          <w:sz w:val="24"/>
          <w:szCs w:val="24"/>
        </w:rPr>
        <w:t>国内关于课程表的研究多集中于课程编排的技术性探讨，如如何通过优化课时分配提高教学效率（王某某，2020）。部分学者关注中美、中日课程设置对比，但针对中英中学课程表的系统性研究较少。现有研究多聚焦于课程内容差异，对课程表背后反映的教育理念、教学模式等深层因素挖掘不足。</w:t>
      </w:r>
    </w:p>
    <w:p w14:paraId="4928E68F">
      <w:pPr>
        <w:pStyle w:val="4"/>
        <w:spacing w:before="240" w:beforeAutospacing="0" w:after="100" w:afterAutospacing="0" w:line="300" w:lineRule="auto"/>
        <w:ind w:left="0" w:leftChars="0" w:right="0" w:rightChars="0"/>
        <w:rPr>
          <w:rFonts w:hint="default" w:ascii="黑体" w:hAnsi="宋体" w:eastAsia="黑体" w:cs="黑体"/>
          <w:sz w:val="26"/>
          <w:szCs w:val="26"/>
        </w:rPr>
      </w:pPr>
      <w:r>
        <w:rPr>
          <w:rFonts w:hint="default" w:ascii="黑体" w:hAnsi="宋体" w:eastAsia="黑体" w:cs="黑体"/>
          <w:sz w:val="26"/>
          <w:szCs w:val="26"/>
        </w:rPr>
        <w:t>（二）国外研究现状</w:t>
      </w:r>
    </w:p>
    <w:p w14:paraId="7AA457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right="0" w:rightChars="0" w:firstLine="480" w:firstLineChars="200"/>
        <w:textAlignment w:val="auto"/>
        <w:rPr>
          <w:rFonts w:hint="default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英联邦国家</w:t>
      </w:r>
      <w:r>
        <w:rPr>
          <w:rFonts w:hint="default" w:ascii="宋体" w:hAnsi="宋体" w:eastAsia="宋体" w:cs="宋体"/>
          <w:sz w:val="24"/>
          <w:szCs w:val="24"/>
        </w:rPr>
        <w:t>教育研究机构较早开展课程表比较研究，强调课程表与学生自主学习能力的关联（Smith, 2018）。近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年来</w:t>
      </w:r>
      <w:r>
        <w:rPr>
          <w:rFonts w:hint="default" w:ascii="宋体" w:hAnsi="宋体" w:eastAsia="宋体" w:cs="宋体"/>
          <w:sz w:val="24"/>
          <w:szCs w:val="24"/>
        </w:rPr>
        <w:t>研究关注课程表的弹性化设计，如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何</w:t>
      </w:r>
      <w:r>
        <w:rPr>
          <w:rFonts w:hint="default" w:ascii="宋体" w:hAnsi="宋体" w:eastAsia="宋体" w:cs="宋体"/>
          <w:sz w:val="24"/>
          <w:szCs w:val="24"/>
        </w:rPr>
        <w:t>通过模块化课程满足学生个性化需求（Jones &amp; Brown, 2021）。但国外研究对中国中学课程表的实证分析较为有限，缺乏跨文化视角下的深度对比。</w:t>
      </w:r>
    </w:p>
    <w:p w14:paraId="1BC8C6D7">
      <w:pPr>
        <w:pStyle w:val="4"/>
        <w:spacing w:before="240" w:beforeAutospacing="0" w:after="100" w:afterAutospacing="0" w:line="300" w:lineRule="auto"/>
        <w:ind w:left="0" w:leftChars="0" w:right="0" w:rightChars="0"/>
        <w:rPr>
          <w:rFonts w:hint="default" w:ascii="黑体" w:hAnsi="宋体" w:eastAsia="黑体" w:cs="黑体"/>
          <w:sz w:val="26"/>
          <w:szCs w:val="26"/>
        </w:rPr>
      </w:pPr>
      <w:r>
        <w:rPr>
          <w:rFonts w:hint="default" w:ascii="黑体" w:hAnsi="宋体" w:eastAsia="黑体" w:cs="黑体"/>
          <w:sz w:val="26"/>
          <w:szCs w:val="26"/>
        </w:rPr>
        <w:t>（三）研究述评</w:t>
      </w:r>
    </w:p>
    <w:p w14:paraId="6F3536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right="0" w:rightChars="0" w:firstLine="480" w:firstLineChars="200"/>
        <w:textAlignment w:val="auto"/>
        <w:rPr>
          <w:rFonts w:hint="default" w:ascii="宋体" w:hAnsi="宋体" w:eastAsia="宋体" w:cs="宋体"/>
          <w:sz w:val="24"/>
          <w:szCs w:val="24"/>
        </w:rPr>
      </w:pPr>
      <w:r>
        <w:rPr>
          <w:rFonts w:hint="default" w:ascii="宋体" w:hAnsi="宋体" w:eastAsia="宋体" w:cs="宋体"/>
          <w:sz w:val="24"/>
          <w:szCs w:val="24"/>
        </w:rPr>
        <w:t>现有研究存在以下不足：一是对比对象多集中于欧美国家，对中英课程表的针对性研究不足；二是研究方法以定性描述为主，缺乏量化分析；三是对课程表实施效果的追踪研究较少。本研究拟弥补上述空白，通过多维度对比为课程改革提供数据支持。</w:t>
      </w:r>
    </w:p>
    <w:p w14:paraId="71BC7174">
      <w:pPr>
        <w:pStyle w:val="3"/>
        <w:spacing w:before="320" w:beforeAutospacing="0" w:after="100" w:afterAutospacing="0" w:line="300" w:lineRule="auto"/>
        <w:ind w:left="0" w:leftChars="0" w:right="0" w:rightChars="0"/>
        <w:rPr>
          <w:rFonts w:hint="default" w:ascii="黑体" w:hAnsi="宋体" w:eastAsia="黑体" w:cs="黑体"/>
          <w:sz w:val="28"/>
          <w:szCs w:val="28"/>
        </w:rPr>
      </w:pPr>
      <w:r>
        <w:rPr>
          <w:rFonts w:hint="default" w:ascii="黑体" w:hAnsi="宋体" w:eastAsia="黑体" w:cs="黑体"/>
          <w:sz w:val="28"/>
          <w:szCs w:val="28"/>
        </w:rPr>
        <w:t>三、研究内容与目标</w:t>
      </w:r>
    </w:p>
    <w:p w14:paraId="7BA6FB71">
      <w:pPr>
        <w:pStyle w:val="4"/>
        <w:spacing w:before="240" w:beforeAutospacing="0" w:after="100" w:afterAutospacing="0" w:line="300" w:lineRule="auto"/>
        <w:ind w:left="0" w:leftChars="0" w:right="0" w:rightChars="0"/>
        <w:rPr>
          <w:rFonts w:hint="default" w:ascii="黑体" w:hAnsi="宋体" w:eastAsia="黑体" w:cs="黑体"/>
          <w:sz w:val="26"/>
          <w:szCs w:val="26"/>
        </w:rPr>
      </w:pPr>
      <w:r>
        <w:rPr>
          <w:rFonts w:hint="default" w:ascii="黑体" w:hAnsi="宋体" w:eastAsia="黑体" w:cs="黑体"/>
          <w:sz w:val="26"/>
          <w:szCs w:val="26"/>
        </w:rPr>
        <w:t>（一）研究内容</w:t>
      </w:r>
    </w:p>
    <w:p w14:paraId="574D89F1">
      <w:pPr>
        <w:numPr>
          <w:ilvl w:val="0"/>
          <w:numId w:val="1"/>
        </w:numPr>
        <w:spacing w:before="60" w:beforeAutospacing="0" w:after="60" w:afterAutospacing="0" w:line="300" w:lineRule="auto"/>
        <w:ind w:left="720" w:leftChars="0" w:right="0" w:rightChars="0" w:hanging="360"/>
        <w:rPr>
          <w:rFonts w:hint="default" w:ascii="宋体" w:hAnsi="宋体" w:eastAsia="宋体" w:cs="宋体"/>
          <w:sz w:val="24"/>
          <w:szCs w:val="24"/>
        </w:rPr>
      </w:pPr>
      <w:r>
        <w:rPr>
          <w:rFonts w:hint="default" w:ascii="宋体" w:hAnsi="宋体" w:eastAsia="宋体" w:cs="宋体"/>
          <w:b/>
          <w:sz w:val="24"/>
          <w:szCs w:val="24"/>
        </w:rPr>
        <w:t>课程结构对比</w:t>
      </w:r>
      <w:r>
        <w:rPr>
          <w:rFonts w:hint="default" w:ascii="宋体" w:hAnsi="宋体" w:eastAsia="宋体" w:cs="宋体"/>
          <w:sz w:val="24"/>
          <w:szCs w:val="24"/>
        </w:rPr>
        <w:t>：分析两国中学课程表的学科构成（如核心学科与选修学科占比）、课时分配（如周课时总量、学科课时差异）及课程类型（如必修/选修、理论/实践课程比例）。</w:t>
      </w:r>
    </w:p>
    <w:p w14:paraId="42DB26FD">
      <w:pPr>
        <w:numPr>
          <w:ilvl w:val="0"/>
          <w:numId w:val="1"/>
        </w:numPr>
        <w:spacing w:before="60" w:beforeAutospacing="0" w:after="60" w:afterAutospacing="0" w:line="300" w:lineRule="auto"/>
        <w:ind w:left="720" w:leftChars="0" w:right="0" w:rightChars="0" w:hanging="360"/>
        <w:rPr>
          <w:rFonts w:hint="default" w:ascii="宋体" w:hAnsi="宋体" w:eastAsia="宋体" w:cs="宋体"/>
          <w:sz w:val="24"/>
          <w:szCs w:val="24"/>
        </w:rPr>
      </w:pPr>
      <w:r>
        <w:rPr>
          <w:rFonts w:hint="default" w:ascii="宋体" w:hAnsi="宋体" w:eastAsia="宋体" w:cs="宋体"/>
          <w:b/>
          <w:sz w:val="24"/>
          <w:szCs w:val="24"/>
        </w:rPr>
        <w:t>教学安排差异</w:t>
      </w:r>
      <w:r>
        <w:rPr>
          <w:rFonts w:hint="default" w:ascii="宋体" w:hAnsi="宋体" w:eastAsia="宋体" w:cs="宋体"/>
          <w:sz w:val="24"/>
          <w:szCs w:val="24"/>
        </w:rPr>
        <w:t>：比较课时长度（如单课时时长、连排课设置）、课程周期（如学期制/学年制）及作息时间安排（如早读、晚自习、课外活动时间）。</w:t>
      </w:r>
    </w:p>
    <w:p w14:paraId="4C6B4B69">
      <w:pPr>
        <w:numPr>
          <w:ilvl w:val="0"/>
          <w:numId w:val="1"/>
        </w:numPr>
        <w:spacing w:before="60" w:beforeAutospacing="0" w:after="60" w:afterAutospacing="0" w:line="300" w:lineRule="auto"/>
        <w:ind w:left="720" w:leftChars="0" w:right="0" w:rightChars="0" w:hanging="360"/>
        <w:rPr>
          <w:rFonts w:hint="default" w:ascii="宋体" w:hAnsi="宋体" w:eastAsia="宋体" w:cs="宋体"/>
          <w:sz w:val="24"/>
          <w:szCs w:val="24"/>
        </w:rPr>
      </w:pPr>
      <w:r>
        <w:rPr>
          <w:rFonts w:hint="default" w:ascii="宋体" w:hAnsi="宋体" w:eastAsia="宋体" w:cs="宋体"/>
          <w:b/>
          <w:sz w:val="24"/>
          <w:szCs w:val="24"/>
        </w:rPr>
        <w:t>课程表背后的教育理念</w:t>
      </w:r>
      <w:r>
        <w:rPr>
          <w:rFonts w:hint="default" w:ascii="宋体" w:hAnsi="宋体" w:eastAsia="宋体" w:cs="宋体"/>
          <w:sz w:val="24"/>
          <w:szCs w:val="24"/>
        </w:rPr>
        <w:t>：探究课程表设计所反映的教育目标（如知识掌握、能力培养）、评价导向（如应试导向、过程性评价）及学生主体性体现（如自主选课权、个性化学习空间）。</w:t>
      </w:r>
    </w:p>
    <w:p w14:paraId="1602206C">
      <w:pPr>
        <w:pStyle w:val="4"/>
        <w:spacing w:before="240" w:beforeAutospacing="0" w:after="100" w:afterAutospacing="0" w:line="300" w:lineRule="auto"/>
        <w:ind w:left="0" w:leftChars="0" w:right="0" w:rightChars="0"/>
        <w:rPr>
          <w:rFonts w:hint="default" w:ascii="黑体" w:hAnsi="宋体" w:eastAsia="黑体" w:cs="黑体"/>
          <w:sz w:val="26"/>
          <w:szCs w:val="26"/>
        </w:rPr>
      </w:pPr>
      <w:r>
        <w:rPr>
          <w:rFonts w:hint="default" w:ascii="黑体" w:hAnsi="宋体" w:eastAsia="黑体" w:cs="黑体"/>
          <w:sz w:val="26"/>
          <w:szCs w:val="26"/>
        </w:rPr>
        <w:t>（二）研究目标</w:t>
      </w:r>
    </w:p>
    <w:p w14:paraId="1C482A90">
      <w:pPr>
        <w:numPr>
          <w:ilvl w:val="0"/>
          <w:numId w:val="2"/>
        </w:numPr>
        <w:spacing w:before="60" w:beforeAutospacing="0" w:after="60" w:afterAutospacing="0" w:line="300" w:lineRule="auto"/>
        <w:ind w:left="720" w:leftChars="0" w:right="0" w:rightChars="0" w:hanging="360"/>
        <w:rPr>
          <w:rFonts w:hint="default" w:ascii="宋体" w:hAnsi="宋体" w:eastAsia="宋体" w:cs="宋体"/>
          <w:sz w:val="24"/>
          <w:szCs w:val="24"/>
        </w:rPr>
      </w:pPr>
      <w:r>
        <w:rPr>
          <w:rFonts w:hint="default" w:ascii="宋体" w:hAnsi="宋体" w:eastAsia="宋体" w:cs="宋体"/>
          <w:sz w:val="24"/>
          <w:szCs w:val="24"/>
        </w:rPr>
        <w:t>揭示中英两国中学生课程表的结构特征与差异表现；</w:t>
      </w:r>
    </w:p>
    <w:p w14:paraId="6607DFF5">
      <w:pPr>
        <w:numPr>
          <w:ilvl w:val="0"/>
          <w:numId w:val="2"/>
        </w:numPr>
        <w:spacing w:before="60" w:beforeAutospacing="0" w:after="60" w:afterAutospacing="0" w:line="300" w:lineRule="auto"/>
        <w:ind w:left="720" w:leftChars="0" w:right="0" w:rightChars="0" w:hanging="360"/>
        <w:rPr>
          <w:rFonts w:hint="default" w:ascii="宋体" w:hAnsi="宋体" w:eastAsia="宋体" w:cs="宋体"/>
          <w:sz w:val="24"/>
          <w:szCs w:val="24"/>
        </w:rPr>
      </w:pPr>
      <w:r>
        <w:rPr>
          <w:rFonts w:hint="default" w:ascii="宋体" w:hAnsi="宋体" w:eastAsia="宋体" w:cs="宋体"/>
          <w:sz w:val="24"/>
          <w:szCs w:val="24"/>
        </w:rPr>
        <w:t>分析差异形成的文化、教育制度及政策背景；</w:t>
      </w:r>
    </w:p>
    <w:p w14:paraId="247219F6">
      <w:pPr>
        <w:numPr>
          <w:ilvl w:val="0"/>
          <w:numId w:val="2"/>
        </w:numPr>
        <w:spacing w:before="60" w:beforeAutospacing="0" w:after="60" w:afterAutospacing="0" w:line="300" w:lineRule="auto"/>
        <w:ind w:left="720" w:leftChars="0" w:right="0" w:rightChars="0" w:hanging="360"/>
        <w:rPr>
          <w:rFonts w:hint="default" w:ascii="宋体" w:hAnsi="宋体" w:eastAsia="宋体" w:cs="宋体"/>
          <w:sz w:val="24"/>
          <w:szCs w:val="24"/>
        </w:rPr>
      </w:pPr>
      <w:r>
        <w:rPr>
          <w:rFonts w:hint="default" w:ascii="宋体" w:hAnsi="宋体" w:eastAsia="宋体" w:cs="宋体"/>
          <w:sz w:val="24"/>
          <w:szCs w:val="24"/>
        </w:rPr>
        <w:t>提出优化我国中学课程表设计的建议，促进课程设置的科学性与人性化。</w:t>
      </w:r>
    </w:p>
    <w:p w14:paraId="2F191BEE">
      <w:pPr>
        <w:pStyle w:val="3"/>
        <w:spacing w:before="320" w:beforeAutospacing="0" w:after="100" w:afterAutospacing="0" w:line="300" w:lineRule="auto"/>
        <w:ind w:left="0" w:leftChars="0" w:right="0" w:rightChars="0"/>
        <w:rPr>
          <w:rFonts w:hint="default" w:ascii="黑体" w:hAnsi="宋体" w:eastAsia="黑体" w:cs="黑体"/>
          <w:sz w:val="28"/>
          <w:szCs w:val="28"/>
        </w:rPr>
      </w:pPr>
      <w:r>
        <w:rPr>
          <w:rFonts w:hint="default" w:ascii="黑体" w:hAnsi="宋体" w:eastAsia="黑体" w:cs="黑体"/>
          <w:sz w:val="28"/>
          <w:szCs w:val="28"/>
        </w:rPr>
        <w:t>四、研究方法与技术路线</w:t>
      </w:r>
    </w:p>
    <w:p w14:paraId="2D2E9A6A">
      <w:pPr>
        <w:pStyle w:val="4"/>
        <w:spacing w:before="240" w:beforeAutospacing="0" w:after="100" w:afterAutospacing="0" w:line="300" w:lineRule="auto"/>
        <w:ind w:left="0" w:leftChars="0" w:right="0" w:rightChars="0"/>
        <w:rPr>
          <w:rFonts w:hint="default" w:ascii="黑体" w:hAnsi="宋体" w:eastAsia="黑体" w:cs="黑体"/>
          <w:sz w:val="26"/>
          <w:szCs w:val="26"/>
        </w:rPr>
      </w:pPr>
      <w:r>
        <w:rPr>
          <w:rFonts w:hint="default" w:ascii="黑体" w:hAnsi="宋体" w:eastAsia="黑体" w:cs="黑体"/>
          <w:sz w:val="26"/>
          <w:szCs w:val="26"/>
        </w:rPr>
        <w:t>（一）研究方法</w:t>
      </w:r>
    </w:p>
    <w:p w14:paraId="1D746870">
      <w:pPr>
        <w:numPr>
          <w:ilvl w:val="0"/>
          <w:numId w:val="3"/>
        </w:numPr>
        <w:spacing w:before="60" w:beforeAutospacing="0" w:after="60" w:afterAutospacing="0" w:line="300" w:lineRule="auto"/>
        <w:ind w:left="720" w:leftChars="0" w:right="0" w:rightChars="0" w:hanging="360"/>
        <w:rPr>
          <w:rFonts w:hint="default" w:ascii="宋体" w:hAnsi="宋体" w:eastAsia="宋体" w:cs="宋体"/>
          <w:sz w:val="24"/>
          <w:szCs w:val="24"/>
        </w:rPr>
      </w:pPr>
      <w:r>
        <w:rPr>
          <w:rFonts w:hint="default" w:ascii="宋体" w:hAnsi="宋体" w:eastAsia="宋体" w:cs="宋体"/>
          <w:b/>
          <w:sz w:val="24"/>
          <w:szCs w:val="24"/>
        </w:rPr>
        <w:t>文献研究法</w:t>
      </w:r>
      <w:r>
        <w:rPr>
          <w:rFonts w:hint="default" w:ascii="宋体" w:hAnsi="宋体" w:eastAsia="宋体" w:cs="宋体"/>
          <w:sz w:val="24"/>
          <w:szCs w:val="24"/>
        </w:rPr>
        <w:t>：梳理中英两国教育政策文件（如中国《义务教育课程方案》、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英联邦国家</w:t>
      </w:r>
      <w:r>
        <w:rPr>
          <w:rFonts w:hint="default" w:ascii="宋体" w:hAnsi="宋体" w:eastAsia="宋体" w:cs="宋体"/>
          <w:sz w:val="24"/>
          <w:szCs w:val="24"/>
        </w:rPr>
        <w:t>《国家课程框架》）及课程表设计相关理论。</w:t>
      </w:r>
    </w:p>
    <w:p w14:paraId="5C8A7437">
      <w:pPr>
        <w:numPr>
          <w:ilvl w:val="0"/>
          <w:numId w:val="3"/>
        </w:numPr>
        <w:spacing w:before="60" w:beforeAutospacing="0" w:after="60" w:afterAutospacing="0" w:line="300" w:lineRule="auto"/>
        <w:ind w:left="720" w:leftChars="0" w:right="0" w:rightChars="0" w:hanging="360"/>
        <w:rPr>
          <w:rFonts w:hint="default" w:ascii="宋体" w:hAnsi="宋体" w:eastAsia="宋体" w:cs="宋体"/>
          <w:sz w:val="24"/>
          <w:szCs w:val="24"/>
        </w:rPr>
      </w:pPr>
      <w:r>
        <w:rPr>
          <w:rFonts w:hint="default" w:ascii="宋体" w:hAnsi="宋体" w:eastAsia="宋体" w:cs="宋体"/>
          <w:b/>
          <w:sz w:val="24"/>
          <w:szCs w:val="24"/>
        </w:rPr>
        <w:t>案例分析法</w:t>
      </w:r>
      <w:r>
        <w:rPr>
          <w:rFonts w:hint="default" w:ascii="宋体" w:hAnsi="宋体" w:eastAsia="宋体" w:cs="宋体"/>
          <w:sz w:val="24"/>
          <w:szCs w:val="24"/>
        </w:rPr>
        <w:t>：选取中国（如北京、上海）和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英联邦国家</w:t>
      </w:r>
      <w:r>
        <w:rPr>
          <w:rFonts w:hint="default" w:ascii="宋体" w:hAnsi="宋体" w:eastAsia="宋体" w:cs="宋体"/>
          <w:sz w:val="24"/>
          <w:szCs w:val="24"/>
        </w:rPr>
        <w:t>（如英格兰、苏格兰）各3所不同类型中学（公立、私立、重点/非重点）的课程表作为案例，进行深度剖析。</w:t>
      </w:r>
    </w:p>
    <w:p w14:paraId="7136502C">
      <w:pPr>
        <w:numPr>
          <w:ilvl w:val="0"/>
          <w:numId w:val="3"/>
        </w:numPr>
        <w:spacing w:before="60" w:beforeAutospacing="0" w:after="60" w:afterAutospacing="0" w:line="300" w:lineRule="auto"/>
        <w:ind w:left="720" w:leftChars="0" w:right="0" w:rightChars="0" w:hanging="360"/>
        <w:rPr>
          <w:rFonts w:hint="default" w:ascii="宋体" w:hAnsi="宋体" w:eastAsia="宋体" w:cs="宋体"/>
          <w:sz w:val="24"/>
          <w:szCs w:val="24"/>
        </w:rPr>
      </w:pPr>
      <w:r>
        <w:rPr>
          <w:rFonts w:hint="default" w:ascii="宋体" w:hAnsi="宋体" w:eastAsia="宋体" w:cs="宋体"/>
          <w:b/>
          <w:sz w:val="24"/>
          <w:szCs w:val="24"/>
        </w:rPr>
        <w:t>比较研究法</w:t>
      </w:r>
      <w:r>
        <w:rPr>
          <w:rFonts w:hint="default" w:ascii="宋体" w:hAnsi="宋体" w:eastAsia="宋体" w:cs="宋体"/>
          <w:sz w:val="24"/>
          <w:szCs w:val="24"/>
        </w:rPr>
        <w:t>：从横向（学科结构、课时分配）和纵向（不同年级课程变化）两个维度对比两国课程表差异。</w:t>
      </w:r>
    </w:p>
    <w:p w14:paraId="55FF298F">
      <w:pPr>
        <w:numPr>
          <w:ilvl w:val="0"/>
          <w:numId w:val="3"/>
        </w:numPr>
        <w:spacing w:before="60" w:beforeAutospacing="0" w:after="60" w:afterAutospacing="0" w:line="300" w:lineRule="auto"/>
        <w:ind w:left="720" w:leftChars="0" w:right="0" w:rightChars="0" w:hanging="360"/>
        <w:rPr>
          <w:rFonts w:hint="default" w:ascii="宋体" w:hAnsi="宋体" w:eastAsia="宋体" w:cs="宋体"/>
          <w:sz w:val="24"/>
          <w:szCs w:val="24"/>
        </w:rPr>
      </w:pPr>
      <w:r>
        <w:rPr>
          <w:rFonts w:hint="default" w:ascii="宋体" w:hAnsi="宋体" w:eastAsia="宋体" w:cs="宋体"/>
          <w:b/>
          <w:sz w:val="24"/>
          <w:szCs w:val="24"/>
        </w:rPr>
        <w:t>访谈法</w:t>
      </w:r>
      <w:r>
        <w:rPr>
          <w:rFonts w:hint="default" w:ascii="宋体" w:hAnsi="宋体" w:eastAsia="宋体" w:cs="宋体"/>
          <w:sz w:val="24"/>
          <w:szCs w:val="24"/>
        </w:rPr>
        <w:t>：对两国中学教师、学生及教育管理者进行半结构化访谈，了解课程表实施的实际效果与问题。</w:t>
      </w:r>
    </w:p>
    <w:p w14:paraId="5044F39B">
      <w:pPr>
        <w:pStyle w:val="4"/>
        <w:spacing w:before="240" w:beforeAutospacing="0" w:after="100" w:afterAutospacing="0" w:line="300" w:lineRule="auto"/>
        <w:ind w:left="0" w:leftChars="0" w:right="0" w:rightChars="0"/>
        <w:rPr>
          <w:rFonts w:hint="default" w:ascii="黑体" w:hAnsi="宋体" w:eastAsia="黑体" w:cs="黑体"/>
          <w:sz w:val="26"/>
          <w:szCs w:val="26"/>
        </w:rPr>
      </w:pPr>
      <w:r>
        <w:rPr>
          <w:rFonts w:hint="default" w:ascii="黑体" w:hAnsi="宋体" w:eastAsia="黑体" w:cs="黑体"/>
          <w:sz w:val="26"/>
          <w:szCs w:val="26"/>
        </w:rPr>
        <w:t>（二）技术路线</w:t>
      </w:r>
    </w:p>
    <w:p w14:paraId="0F07386B">
      <w:pPr>
        <w:spacing w:before="100" w:beforeAutospacing="0" w:after="100" w:afterAutospacing="0" w:line="300" w:lineRule="auto"/>
        <w:ind w:left="0" w:leftChars="0" w:right="0" w:rightChars="0"/>
        <w:rPr>
          <w:rFonts w:hint="default" w:ascii="宋体" w:hAnsi="宋体" w:eastAsia="宋体" w:cs="宋体"/>
          <w:sz w:val="24"/>
          <w:szCs w:val="24"/>
        </w:rPr>
      </w:pPr>
      <w:r>
        <w:rPr>
          <w:rFonts w:hint="default" w:ascii="宋体" w:hAnsi="宋体" w:eastAsia="宋体" w:cs="宋体"/>
          <w:sz w:val="24"/>
          <w:szCs w:val="24"/>
        </w:rPr>
        <w:t>准备阶段（文献梳理→案例选取）→数据收集阶段（课程表文本分析→访谈调研）→分析阶段（差异比较→原因探究）→结论阶段（提出建议→撰写报告）。</w:t>
      </w:r>
    </w:p>
    <w:p w14:paraId="13B6B517">
      <w:pPr>
        <w:pStyle w:val="3"/>
        <w:spacing w:before="320" w:beforeAutospacing="0" w:after="100" w:afterAutospacing="0" w:line="300" w:lineRule="auto"/>
        <w:ind w:left="0" w:leftChars="0" w:right="0" w:rightChars="0"/>
        <w:rPr>
          <w:rFonts w:hint="default" w:ascii="黑体" w:hAnsi="宋体" w:eastAsia="黑体" w:cs="黑体"/>
          <w:sz w:val="28"/>
          <w:szCs w:val="28"/>
        </w:rPr>
      </w:pPr>
      <w:r>
        <w:rPr>
          <w:rFonts w:hint="default" w:ascii="黑体" w:hAnsi="宋体" w:eastAsia="黑体" w:cs="黑体"/>
          <w:sz w:val="28"/>
          <w:szCs w:val="28"/>
        </w:rPr>
        <w:t>五、重点难点与创新点</w:t>
      </w:r>
    </w:p>
    <w:p w14:paraId="64CA26C1">
      <w:pPr>
        <w:pStyle w:val="4"/>
        <w:spacing w:before="240" w:beforeAutospacing="0" w:after="100" w:afterAutospacing="0" w:line="300" w:lineRule="auto"/>
        <w:ind w:left="0" w:leftChars="0" w:right="0" w:rightChars="0"/>
        <w:rPr>
          <w:rFonts w:hint="default" w:ascii="黑体" w:hAnsi="宋体" w:eastAsia="黑体" w:cs="黑体"/>
          <w:sz w:val="26"/>
          <w:szCs w:val="26"/>
        </w:rPr>
      </w:pPr>
      <w:r>
        <w:rPr>
          <w:rFonts w:hint="default" w:ascii="黑体" w:hAnsi="宋体" w:eastAsia="黑体" w:cs="黑体"/>
          <w:sz w:val="26"/>
          <w:szCs w:val="26"/>
        </w:rPr>
        <w:t>（一）重点难点</w:t>
      </w:r>
    </w:p>
    <w:p w14:paraId="047A9BDB">
      <w:pPr>
        <w:numPr>
          <w:ilvl w:val="0"/>
          <w:numId w:val="4"/>
        </w:numPr>
        <w:spacing w:before="60" w:beforeAutospacing="0" w:after="60" w:afterAutospacing="0" w:line="300" w:lineRule="auto"/>
        <w:ind w:left="720" w:leftChars="0" w:right="0" w:rightChars="0" w:hanging="360"/>
        <w:rPr>
          <w:rFonts w:hint="default" w:ascii="宋体" w:hAnsi="宋体" w:eastAsia="宋体" w:cs="宋体"/>
          <w:sz w:val="24"/>
          <w:szCs w:val="24"/>
        </w:rPr>
      </w:pPr>
      <w:r>
        <w:rPr>
          <w:rFonts w:hint="default" w:ascii="宋体" w:hAnsi="宋体" w:eastAsia="宋体" w:cs="宋体"/>
          <w:b/>
          <w:sz w:val="24"/>
          <w:szCs w:val="24"/>
        </w:rPr>
        <w:t>重点</w:t>
      </w:r>
      <w:r>
        <w:rPr>
          <w:rFonts w:hint="default" w:ascii="宋体" w:hAnsi="宋体" w:eastAsia="宋体" w:cs="宋体"/>
          <w:sz w:val="24"/>
          <w:szCs w:val="24"/>
        </w:rPr>
        <w:t>：量化对比两国课程表的结构指标（如学科课时占比、实践课程比例），分析差异背后的教育理念差异。</w:t>
      </w:r>
    </w:p>
    <w:p w14:paraId="26A5BF01">
      <w:pPr>
        <w:numPr>
          <w:ilvl w:val="0"/>
          <w:numId w:val="4"/>
        </w:numPr>
        <w:spacing w:before="60" w:beforeAutospacing="0" w:after="60" w:afterAutospacing="0" w:line="300" w:lineRule="auto"/>
        <w:ind w:left="720" w:leftChars="0" w:right="0" w:rightChars="0" w:hanging="360"/>
        <w:rPr>
          <w:rFonts w:hint="default" w:ascii="宋体" w:hAnsi="宋体" w:eastAsia="宋体" w:cs="宋体"/>
          <w:sz w:val="24"/>
          <w:szCs w:val="24"/>
        </w:rPr>
      </w:pPr>
      <w:r>
        <w:rPr>
          <w:rFonts w:hint="default" w:ascii="宋体" w:hAnsi="宋体" w:eastAsia="宋体" w:cs="宋体"/>
          <w:b/>
          <w:sz w:val="24"/>
          <w:szCs w:val="24"/>
        </w:rPr>
        <w:t>难点</w:t>
      </w:r>
      <w:r>
        <w:rPr>
          <w:rFonts w:hint="default" w:ascii="宋体" w:hAnsi="宋体" w:eastAsia="宋体" w:cs="宋体"/>
          <w:sz w:val="24"/>
          <w:szCs w:val="24"/>
        </w:rPr>
        <w:t>：获取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英联邦国家</w:t>
      </w:r>
      <w:r>
        <w:rPr>
          <w:rFonts w:hint="default" w:ascii="宋体" w:hAnsi="宋体" w:eastAsia="宋体" w:cs="宋体"/>
          <w:sz w:val="24"/>
          <w:szCs w:val="24"/>
        </w:rPr>
        <w:t>中学课程表的第一手资料；确保样本选取的代表性；避免文化偏见对分析结果的影响。</w:t>
      </w:r>
    </w:p>
    <w:p w14:paraId="71113240">
      <w:pPr>
        <w:pStyle w:val="4"/>
        <w:spacing w:before="240" w:beforeAutospacing="0" w:after="100" w:afterAutospacing="0" w:line="300" w:lineRule="auto"/>
        <w:ind w:left="0" w:leftChars="0" w:right="0" w:rightChars="0"/>
        <w:rPr>
          <w:rFonts w:hint="default" w:ascii="黑体" w:hAnsi="宋体" w:eastAsia="黑体" w:cs="黑体"/>
          <w:sz w:val="26"/>
          <w:szCs w:val="26"/>
        </w:rPr>
      </w:pPr>
      <w:r>
        <w:rPr>
          <w:rFonts w:hint="default" w:ascii="黑体" w:hAnsi="宋体" w:eastAsia="黑体" w:cs="黑体"/>
          <w:sz w:val="26"/>
          <w:szCs w:val="26"/>
        </w:rPr>
        <w:t>（二）创新点</w:t>
      </w:r>
    </w:p>
    <w:p w14:paraId="4ACD6250">
      <w:pPr>
        <w:numPr>
          <w:ilvl w:val="0"/>
          <w:numId w:val="5"/>
        </w:numPr>
        <w:spacing w:before="60" w:beforeAutospacing="0" w:after="60" w:afterAutospacing="0" w:line="300" w:lineRule="auto"/>
        <w:ind w:left="720" w:leftChars="0" w:right="0" w:rightChars="0" w:hanging="360"/>
        <w:rPr>
          <w:rFonts w:hint="default" w:ascii="宋体" w:hAnsi="宋体" w:eastAsia="宋体" w:cs="宋体"/>
          <w:sz w:val="24"/>
          <w:szCs w:val="24"/>
        </w:rPr>
      </w:pPr>
      <w:r>
        <w:rPr>
          <w:rFonts w:hint="default" w:ascii="宋体" w:hAnsi="宋体" w:eastAsia="宋体" w:cs="宋体"/>
          <w:sz w:val="24"/>
          <w:szCs w:val="24"/>
        </w:rPr>
        <w:t>首次系统对比中英两国中学生课程表的结构特征与实施效果；</w:t>
      </w:r>
    </w:p>
    <w:p w14:paraId="7E9AE6C1">
      <w:pPr>
        <w:numPr>
          <w:ilvl w:val="0"/>
          <w:numId w:val="5"/>
        </w:numPr>
        <w:spacing w:before="60" w:beforeAutospacing="0" w:after="60" w:afterAutospacing="0" w:line="300" w:lineRule="auto"/>
        <w:ind w:left="720" w:leftChars="0" w:right="0" w:rightChars="0" w:hanging="360"/>
        <w:rPr>
          <w:rFonts w:hint="default" w:ascii="宋体" w:hAnsi="宋体" w:eastAsia="宋体" w:cs="宋体"/>
          <w:sz w:val="24"/>
          <w:szCs w:val="24"/>
        </w:rPr>
      </w:pPr>
      <w:r>
        <w:rPr>
          <w:rFonts w:hint="default" w:ascii="宋体" w:hAnsi="宋体" w:eastAsia="宋体" w:cs="宋体"/>
          <w:sz w:val="24"/>
          <w:szCs w:val="24"/>
        </w:rPr>
        <w:t>结合教育政策与文化背景，揭示课程表设计的深层逻辑；</w:t>
      </w:r>
    </w:p>
    <w:p w14:paraId="6667FA3D">
      <w:pPr>
        <w:numPr>
          <w:ilvl w:val="0"/>
          <w:numId w:val="5"/>
        </w:numPr>
        <w:spacing w:before="60" w:beforeAutospacing="0" w:after="60" w:afterAutospacing="0" w:line="300" w:lineRule="auto"/>
        <w:ind w:left="720" w:leftChars="0" w:right="0" w:rightChars="0" w:hanging="360"/>
        <w:rPr>
          <w:rFonts w:hint="default" w:ascii="宋体" w:hAnsi="宋体" w:eastAsia="宋体" w:cs="宋体"/>
          <w:sz w:val="24"/>
          <w:szCs w:val="24"/>
        </w:rPr>
      </w:pPr>
      <w:r>
        <w:rPr>
          <w:rFonts w:hint="default" w:ascii="宋体" w:hAnsi="宋体" w:eastAsia="宋体" w:cs="宋体"/>
          <w:sz w:val="24"/>
          <w:szCs w:val="24"/>
        </w:rPr>
        <w:t>提出具有可操作性的课程表优化建议，为我国基础教育改革提供参考。</w:t>
      </w:r>
    </w:p>
    <w:p w14:paraId="3D55000C">
      <w:pPr>
        <w:pStyle w:val="3"/>
        <w:spacing w:before="320" w:beforeAutospacing="0" w:after="100" w:afterAutospacing="0" w:line="300" w:lineRule="auto"/>
        <w:ind w:left="0" w:leftChars="0" w:right="0" w:rightChars="0"/>
        <w:rPr>
          <w:rFonts w:hint="default" w:ascii="黑体" w:hAnsi="宋体" w:eastAsia="黑体" w:cs="黑体"/>
          <w:sz w:val="28"/>
          <w:szCs w:val="28"/>
        </w:rPr>
      </w:pPr>
      <w:r>
        <w:rPr>
          <w:rFonts w:hint="default" w:ascii="黑体" w:hAnsi="宋体" w:eastAsia="黑体" w:cs="黑体"/>
          <w:sz w:val="28"/>
          <w:szCs w:val="28"/>
        </w:rPr>
        <w:t>六、研究进度安排</w:t>
      </w:r>
    </w:p>
    <w:tbl>
      <w:tblPr>
        <w:tblStyle w:val="7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384"/>
        <w:gridCol w:w="6122"/>
      </w:tblGrid>
      <w:tr w14:paraId="2C1438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0F0F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E3EBD83">
            <w:pPr>
              <w:spacing w:before="100" w:beforeAutospacing="0" w:after="100" w:afterAutospacing="0" w:line="300" w:lineRule="auto"/>
              <w:ind w:left="0" w:leftChars="0" w:right="0" w:rightChars="0"/>
              <w:jc w:val="center"/>
              <w:rPr>
                <w:rFonts w:hint="default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default" w:ascii="宋体" w:hAnsi="宋体" w:eastAsia="宋体" w:cs="宋体"/>
                <w:b/>
                <w:bCs/>
                <w:sz w:val="24"/>
                <w:szCs w:val="24"/>
              </w:rPr>
              <w:t>时间阶段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0F0F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49C81EF">
            <w:pPr>
              <w:spacing w:before="100" w:beforeAutospacing="0" w:after="100" w:afterAutospacing="0" w:line="300" w:lineRule="auto"/>
              <w:ind w:left="0" w:leftChars="0" w:right="0" w:rightChars="0"/>
              <w:jc w:val="center"/>
              <w:rPr>
                <w:rFonts w:hint="default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default" w:ascii="宋体" w:hAnsi="宋体" w:eastAsia="宋体" w:cs="宋体"/>
                <w:b/>
                <w:bCs/>
                <w:sz w:val="24"/>
                <w:szCs w:val="24"/>
              </w:rPr>
              <w:t>主要任务</w:t>
            </w:r>
          </w:p>
        </w:tc>
      </w:tr>
      <w:tr w14:paraId="1338F9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4ABCD71">
            <w:pPr>
              <w:spacing w:before="100" w:beforeAutospacing="0" w:after="100" w:afterAutospacing="0" w:line="300" w:lineRule="auto"/>
              <w:ind w:left="0" w:leftChars="0" w:right="0" w:rightChars="0"/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</w:rPr>
              <w:t>第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1～2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个月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579CFF4">
            <w:pPr>
              <w:spacing w:before="100" w:beforeAutospacing="0" w:after="100" w:afterAutospacing="0" w:line="300" w:lineRule="auto"/>
              <w:ind w:left="0" w:leftChars="0" w:right="0" w:rightChars="0"/>
              <w:jc w:val="left"/>
              <w:rPr>
                <w:rFonts w:hint="default" w:ascii="宋体" w:hAnsi="宋体" w:eastAsia="宋体" w:cs="宋体"/>
                <w:sz w:val="24"/>
                <w:szCs w:val="24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</w:rPr>
              <w:t>文献研究，确定研究框架，选取案例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学习</w:t>
            </w:r>
          </w:p>
        </w:tc>
      </w:tr>
      <w:tr w14:paraId="0D888D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ECB736E">
            <w:pPr>
              <w:spacing w:before="100" w:beforeAutospacing="0" w:after="100" w:afterAutospacing="0" w:line="300" w:lineRule="auto"/>
              <w:ind w:left="0" w:leftChars="0" w:right="0" w:rightChars="0"/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</w:rPr>
              <w:t>第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3～4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个月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AA9069B">
            <w:pPr>
              <w:spacing w:before="100" w:beforeAutospacing="0" w:after="100" w:afterAutospacing="0" w:line="300" w:lineRule="auto"/>
              <w:ind w:left="0" w:leftChars="0" w:right="0" w:rightChars="0"/>
              <w:jc w:val="left"/>
              <w:rPr>
                <w:rFonts w:hint="default" w:ascii="宋体" w:hAnsi="宋体" w:eastAsia="宋体" w:cs="宋体"/>
                <w:sz w:val="24"/>
                <w:szCs w:val="24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</w:rPr>
              <w:t>收集课程表文本资料，开展访谈调研</w:t>
            </w:r>
          </w:p>
        </w:tc>
      </w:tr>
      <w:tr w14:paraId="2EE456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64E1299">
            <w:pPr>
              <w:spacing w:before="100" w:beforeAutospacing="0" w:after="100" w:afterAutospacing="0" w:line="300" w:lineRule="auto"/>
              <w:ind w:left="0" w:leftChars="0" w:right="0" w:rightChars="0"/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</w:rPr>
              <w:t>第5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—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10个月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58C8F05">
            <w:pPr>
              <w:spacing w:before="100" w:beforeAutospacing="0" w:after="100" w:afterAutospacing="0" w:line="300" w:lineRule="auto"/>
              <w:ind w:left="0" w:leftChars="0" w:right="0" w:rightChars="0"/>
              <w:jc w:val="left"/>
              <w:rPr>
                <w:rFonts w:hint="default" w:ascii="宋体" w:hAnsi="宋体" w:eastAsia="宋体" w:cs="宋体"/>
                <w:sz w:val="24"/>
                <w:szCs w:val="24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</w:rPr>
              <w:t>数据整理与分析，撰写研究报告初稿</w:t>
            </w:r>
          </w:p>
        </w:tc>
      </w:tr>
      <w:tr w14:paraId="456DB0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416C0A4">
            <w:pPr>
              <w:spacing w:before="100" w:beforeAutospacing="0" w:after="100" w:afterAutospacing="0" w:line="300" w:lineRule="auto"/>
              <w:ind w:left="0" w:leftChars="0" w:right="0" w:rightChars="0"/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</w:rPr>
              <w:t>第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11～12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个月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0385E9C">
            <w:pPr>
              <w:spacing w:before="100" w:beforeAutospacing="0" w:after="100" w:afterAutospacing="0" w:line="300" w:lineRule="auto"/>
              <w:ind w:left="0" w:leftChars="0" w:right="0" w:rightChars="0"/>
              <w:jc w:val="left"/>
              <w:rPr>
                <w:rFonts w:hint="default" w:ascii="宋体" w:hAnsi="宋体" w:eastAsia="宋体" w:cs="宋体"/>
                <w:sz w:val="24"/>
                <w:szCs w:val="24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</w:rPr>
              <w:t>修改完善报告，定稿</w:t>
            </w:r>
          </w:p>
        </w:tc>
      </w:tr>
    </w:tbl>
    <w:p w14:paraId="21FA0FD3">
      <w:pPr>
        <w:pStyle w:val="3"/>
        <w:spacing w:before="320" w:beforeAutospacing="0" w:after="100" w:afterAutospacing="0" w:line="300" w:lineRule="auto"/>
        <w:ind w:left="0" w:leftChars="0" w:right="0" w:rightChars="0"/>
        <w:rPr>
          <w:rFonts w:hint="default" w:ascii="黑体" w:hAnsi="宋体" w:eastAsia="黑体" w:cs="黑体"/>
          <w:sz w:val="28"/>
          <w:szCs w:val="28"/>
        </w:rPr>
      </w:pPr>
      <w:r>
        <w:rPr>
          <w:rFonts w:hint="default" w:ascii="黑体" w:hAnsi="宋体" w:eastAsia="黑体" w:cs="黑体"/>
          <w:sz w:val="28"/>
          <w:szCs w:val="28"/>
        </w:rPr>
        <w:t>七、预期成果</w:t>
      </w:r>
    </w:p>
    <w:p w14:paraId="0AFB9A67">
      <w:pPr>
        <w:numPr>
          <w:ilvl w:val="0"/>
          <w:numId w:val="0"/>
        </w:numPr>
        <w:spacing w:before="60" w:beforeAutospacing="0" w:after="60" w:afterAutospacing="0" w:line="300" w:lineRule="auto"/>
        <w:ind w:right="0" w:rightChars="0" w:firstLine="480" w:firstLineChars="200"/>
        <w:rPr>
          <w:rFonts w:hint="default" w:ascii="宋体" w:hAnsi="宋体" w:eastAsia="宋体" w:cs="宋体"/>
          <w:sz w:val="24"/>
          <w:szCs w:val="24"/>
        </w:rPr>
      </w:pPr>
      <w:r>
        <w:rPr>
          <w:rFonts w:hint="default" w:ascii="宋体" w:hAnsi="宋体" w:eastAsia="宋体" w:cs="宋体"/>
          <w:sz w:val="24"/>
          <w:szCs w:val="24"/>
        </w:rPr>
        <w:t>研究报告1份（约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0</w:t>
      </w:r>
      <w:r>
        <w:rPr>
          <w:rFonts w:hint="default" w:ascii="宋体" w:hAnsi="宋体" w:eastAsia="宋体" w:cs="宋体"/>
          <w:sz w:val="24"/>
          <w:szCs w:val="24"/>
        </w:rPr>
        <w:t>.5万字）；</w:t>
      </w:r>
    </w:p>
    <w:p w14:paraId="276DF69B">
      <w:pPr>
        <w:pStyle w:val="3"/>
        <w:spacing w:before="320" w:beforeAutospacing="0" w:after="100" w:afterAutospacing="0" w:line="300" w:lineRule="auto"/>
        <w:ind w:left="0" w:leftChars="0" w:right="0" w:rightChars="0"/>
        <w:rPr>
          <w:rFonts w:hint="default" w:ascii="黑体" w:hAnsi="宋体" w:eastAsia="黑体" w:cs="黑体"/>
          <w:sz w:val="28"/>
          <w:szCs w:val="28"/>
        </w:rPr>
      </w:pPr>
      <w:r>
        <w:rPr>
          <w:rFonts w:hint="default" w:ascii="黑体" w:hAnsi="宋体" w:eastAsia="黑体" w:cs="黑体"/>
          <w:sz w:val="28"/>
          <w:szCs w:val="28"/>
        </w:rPr>
        <w:t>八、参考文献</w:t>
      </w:r>
    </w:p>
    <w:p w14:paraId="62A038F2">
      <w:pPr>
        <w:spacing w:before="100" w:beforeAutospacing="0" w:after="100" w:afterAutospacing="0" w:line="300" w:lineRule="auto"/>
        <w:ind w:left="0" w:leftChars="0" w:right="0" w:rightChars="0"/>
        <w:rPr>
          <w:rFonts w:hint="default" w:ascii="宋体" w:hAnsi="宋体" w:eastAsia="宋体" w:cs="宋体"/>
          <w:sz w:val="24"/>
          <w:szCs w:val="24"/>
        </w:rPr>
      </w:pPr>
      <w:r>
        <w:rPr>
          <w:rFonts w:hint="default" w:ascii="宋体" w:hAnsi="宋体" w:eastAsia="宋体" w:cs="宋体"/>
          <w:sz w:val="24"/>
          <w:szCs w:val="24"/>
        </w:rPr>
        <w:t>[1] 王某某. 中学课程表优化设计研究[J]. 教育学报, 2020, 16(3): 45-52.</w:t>
      </w:r>
    </w:p>
    <w:p w14:paraId="27FE3889">
      <w:pPr>
        <w:spacing w:before="100" w:beforeAutospacing="0" w:after="100" w:afterAutospacing="0" w:line="300" w:lineRule="auto"/>
        <w:ind w:left="0" w:leftChars="0" w:right="0" w:rightChars="0"/>
        <w:rPr>
          <w:rFonts w:hint="default" w:ascii="宋体" w:hAnsi="宋体" w:eastAsia="宋体" w:cs="宋体"/>
          <w:sz w:val="24"/>
          <w:szCs w:val="24"/>
        </w:rPr>
      </w:pPr>
      <w:r>
        <w:rPr>
          <w:rFonts w:hint="default" w:ascii="宋体" w:hAnsi="宋体" w:eastAsia="宋体" w:cs="宋体"/>
          <w:sz w:val="24"/>
          <w:szCs w:val="24"/>
        </w:rPr>
        <w:t>[2] Smith, A. (2018).</w:t>
      </w:r>
      <w:r>
        <w:rPr>
          <w:rStyle w:val="9"/>
          <w:rFonts w:hint="default" w:ascii="宋体" w:hAnsi="宋体" w:eastAsia="宋体" w:cs="宋体"/>
          <w:sz w:val="24"/>
          <w:szCs w:val="24"/>
        </w:rPr>
        <w:t>Curriculum Timetabling in UK Secondary Schools</w:t>
      </w:r>
      <w:r>
        <w:rPr>
          <w:rFonts w:hint="default" w:ascii="宋体" w:hAnsi="宋体" w:eastAsia="宋体" w:cs="宋体"/>
          <w:sz w:val="24"/>
          <w:szCs w:val="24"/>
        </w:rPr>
        <w:t>. London: Routledge.</w:t>
      </w:r>
    </w:p>
    <w:p w14:paraId="15AE588D">
      <w:pPr>
        <w:spacing w:before="100" w:beforeAutospacing="0" w:after="100" w:afterAutospacing="0" w:line="300" w:lineRule="auto"/>
        <w:ind w:left="0" w:leftChars="0" w:right="0" w:rightChars="0"/>
        <w:rPr>
          <w:rFonts w:hint="default" w:ascii="宋体" w:hAnsi="宋体" w:eastAsia="宋体" w:cs="宋体"/>
          <w:sz w:val="24"/>
          <w:szCs w:val="24"/>
        </w:rPr>
      </w:pPr>
      <w:r>
        <w:rPr>
          <w:rFonts w:hint="default" w:ascii="宋体" w:hAnsi="宋体" w:eastAsia="宋体" w:cs="宋体"/>
          <w:sz w:val="24"/>
          <w:szCs w:val="24"/>
        </w:rPr>
        <w:t>[3] Jones, B., &amp; Brown, C. (2021). Flexible Timetabling and Student Autonomy.</w:t>
      </w:r>
      <w:r>
        <w:rPr>
          <w:rStyle w:val="9"/>
          <w:rFonts w:hint="default" w:ascii="宋体" w:hAnsi="宋体" w:eastAsia="宋体" w:cs="宋体"/>
          <w:sz w:val="24"/>
          <w:szCs w:val="24"/>
        </w:rPr>
        <w:t>International Journal of Educational Research</w:t>
      </w:r>
      <w:r>
        <w:rPr>
          <w:rFonts w:hint="default" w:ascii="宋体" w:hAnsi="宋体" w:eastAsia="宋体" w:cs="宋体"/>
          <w:sz w:val="24"/>
          <w:szCs w:val="24"/>
        </w:rPr>
        <w:t>, 58(2), 89-103.</w:t>
      </w:r>
    </w:p>
    <w:p w14:paraId="6F1A9A1A">
      <w:pPr>
        <w:spacing w:before="100" w:beforeAutospacing="0" w:after="100" w:afterAutospacing="0" w:line="300" w:lineRule="auto"/>
        <w:ind w:left="0" w:leftChars="0" w:right="0" w:rightChars="0"/>
        <w:rPr>
          <w:rFonts w:hint="default" w:ascii="宋体" w:hAnsi="宋体" w:eastAsia="宋体" w:cs="宋体"/>
          <w:sz w:val="24"/>
          <w:szCs w:val="24"/>
        </w:rPr>
      </w:pPr>
      <w:r>
        <w:rPr>
          <w:rFonts w:hint="default" w:ascii="宋体" w:hAnsi="宋体" w:eastAsia="宋体" w:cs="宋体"/>
          <w:sz w:val="24"/>
          <w:szCs w:val="24"/>
        </w:rPr>
        <w:t>[4] 中华人民共和国教育部. 义务教育课程方案（2022年版）[Z]. 北京: 北京师范大学出版社, 2022.</w:t>
      </w:r>
    </w:p>
    <w:p w14:paraId="09F15FC6">
      <w:pPr>
        <w:spacing w:before="100" w:beforeAutospacing="0" w:after="100" w:afterAutospacing="0" w:line="300" w:lineRule="auto"/>
        <w:ind w:left="0" w:leftChars="0" w:right="0" w:rightChars="0"/>
        <w:rPr>
          <w:rFonts w:hint="default" w:ascii="宋体" w:hAnsi="宋体" w:eastAsia="宋体" w:cs="宋体"/>
          <w:sz w:val="24"/>
          <w:szCs w:val="24"/>
        </w:rPr>
      </w:pPr>
      <w:r>
        <w:rPr>
          <w:rFonts w:hint="default" w:ascii="宋体" w:hAnsi="宋体" w:eastAsia="宋体" w:cs="宋体"/>
          <w:sz w:val="24"/>
          <w:szCs w:val="24"/>
        </w:rPr>
        <w:t>[5] Department for Education. (2014).</w:t>
      </w:r>
      <w:r>
        <w:rPr>
          <w:rStyle w:val="9"/>
          <w:rFonts w:hint="default" w:ascii="宋体" w:hAnsi="宋体" w:eastAsia="宋体" w:cs="宋体"/>
          <w:sz w:val="24"/>
          <w:szCs w:val="24"/>
        </w:rPr>
        <w:t>National Curriculum in England: Framework Document</w:t>
      </w:r>
      <w:r>
        <w:rPr>
          <w:rFonts w:hint="default" w:ascii="宋体" w:hAnsi="宋体" w:eastAsia="宋体" w:cs="宋体"/>
          <w:sz w:val="24"/>
          <w:szCs w:val="24"/>
        </w:rPr>
        <w:t>. London: DfE Publications.</w:t>
      </w:r>
    </w:p>
    <w:p w14:paraId="222E73C3"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5613F0"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E361B22"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E361B22"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F5D81E5"/>
    <w:multiLevelType w:val="singleLevel"/>
    <w:tmpl w:val="CF5D81E5"/>
    <w:lvl w:ilvl="0" w:tentative="0">
      <w:start w:val="1"/>
      <w:numFmt w:val="decimal"/>
      <w:lvlText w:val="%1."/>
      <w:lvlJc w:val="left"/>
      <w:pPr>
        <w:ind w:left="720" w:hanging="360"/>
      </w:pPr>
      <w:rPr>
        <w:sz w:val="24"/>
      </w:rPr>
    </w:lvl>
  </w:abstractNum>
  <w:abstractNum w:abstractNumId="1">
    <w:nsid w:val="F366886F"/>
    <w:multiLevelType w:val="singleLevel"/>
    <w:tmpl w:val="F366886F"/>
    <w:lvl w:ilvl="0" w:tentative="0">
      <w:start w:val="1"/>
      <w:numFmt w:val="decimal"/>
      <w:lvlText w:val="%1."/>
      <w:lvlJc w:val="left"/>
      <w:pPr>
        <w:ind w:left="720" w:hanging="360"/>
      </w:pPr>
      <w:rPr>
        <w:sz w:val="24"/>
      </w:rPr>
    </w:lvl>
  </w:abstractNum>
  <w:abstractNum w:abstractNumId="2">
    <w:nsid w:val="1326B316"/>
    <w:multiLevelType w:val="singleLevel"/>
    <w:tmpl w:val="1326B316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 w:cs="Symbol"/>
        <w:sz w:val="20"/>
      </w:rPr>
    </w:lvl>
  </w:abstractNum>
  <w:abstractNum w:abstractNumId="3">
    <w:nsid w:val="451F7D44"/>
    <w:multiLevelType w:val="singleLevel"/>
    <w:tmpl w:val="451F7D44"/>
    <w:lvl w:ilvl="0" w:tentative="0">
      <w:start w:val="1"/>
      <w:numFmt w:val="decimal"/>
      <w:lvlText w:val="%1."/>
      <w:lvlJc w:val="left"/>
      <w:pPr>
        <w:ind w:left="720" w:hanging="360"/>
      </w:pPr>
      <w:rPr>
        <w:sz w:val="24"/>
      </w:rPr>
    </w:lvl>
  </w:abstractNum>
  <w:abstractNum w:abstractNumId="4">
    <w:nsid w:val="46874AC9"/>
    <w:multiLevelType w:val="singleLevel"/>
    <w:tmpl w:val="46874AC9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 w:cs="Symbol"/>
        <w:sz w:val="20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CC37787"/>
    <w:rsid w:val="00E54877"/>
    <w:rsid w:val="00ED6C3B"/>
    <w:rsid w:val="05EC26CB"/>
    <w:rsid w:val="09037666"/>
    <w:rsid w:val="0EFB1BB6"/>
    <w:rsid w:val="1A357D43"/>
    <w:rsid w:val="27E90028"/>
    <w:rsid w:val="2D1D5714"/>
    <w:rsid w:val="33550F44"/>
    <w:rsid w:val="38E51C37"/>
    <w:rsid w:val="3A7E7421"/>
    <w:rsid w:val="3E692DA0"/>
    <w:rsid w:val="3EE55F3B"/>
    <w:rsid w:val="474D19AF"/>
    <w:rsid w:val="4970706C"/>
    <w:rsid w:val="5299543B"/>
    <w:rsid w:val="54E20D2E"/>
    <w:rsid w:val="57C75B25"/>
    <w:rsid w:val="5B802C7B"/>
    <w:rsid w:val="5E875E24"/>
    <w:rsid w:val="5ECC2FB0"/>
    <w:rsid w:val="6672632E"/>
    <w:rsid w:val="76F213EB"/>
    <w:rsid w:val="7CC377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3"/>
    <w:qFormat/>
    <w:uiPriority w:val="0"/>
    <w:pPr>
      <w:keepNext/>
      <w:keepLines/>
      <w:spacing w:beforeLines="0" w:afterLines="0" w:line="360" w:lineRule="auto"/>
      <w:outlineLvl w:val="0"/>
    </w:pPr>
    <w:rPr>
      <w:rFonts w:ascii="Times New Roman" w:hAnsi="Times New Roman" w:eastAsia="黑体"/>
      <w:b/>
      <w:bCs/>
      <w:kern w:val="44"/>
      <w:sz w:val="28"/>
      <w:szCs w:val="44"/>
    </w:rPr>
  </w:style>
  <w:style w:type="paragraph" w:styleId="3">
    <w:name w:val="heading 2"/>
    <w:basedOn w:val="1"/>
    <w:next w:val="1"/>
    <w:link w:val="11"/>
    <w:semiHidden/>
    <w:unhideWhenUsed/>
    <w:qFormat/>
    <w:uiPriority w:val="0"/>
    <w:pPr>
      <w:spacing w:before="50" w:beforeLines="50" w:after="50" w:afterLines="50" w:line="240" w:lineRule="auto"/>
      <w:ind w:firstLine="0" w:firstLineChars="0"/>
      <w:jc w:val="left"/>
      <w:outlineLvl w:val="1"/>
    </w:pPr>
    <w:rPr>
      <w:rFonts w:ascii="Arial" w:hAnsi="Arial" w:eastAsia="黑体"/>
      <w:sz w:val="30"/>
      <w:szCs w:val="22"/>
    </w:rPr>
  </w:style>
  <w:style w:type="paragraph" w:styleId="4">
    <w:name w:val="heading 3"/>
    <w:basedOn w:val="1"/>
    <w:next w:val="1"/>
    <w:link w:val="12"/>
    <w:semiHidden/>
    <w:unhideWhenUsed/>
    <w:qFormat/>
    <w:uiPriority w:val="0"/>
    <w:pPr>
      <w:spacing w:before="50" w:beforeLines="50" w:after="50" w:afterLines="50" w:line="240" w:lineRule="auto"/>
      <w:ind w:firstLine="0" w:firstLineChars="0"/>
      <w:outlineLvl w:val="2"/>
    </w:pPr>
    <w:rPr>
      <w:rFonts w:eastAsia="黑体" w:asciiTheme="minorAscii" w:hAnsiTheme="minorAscii"/>
      <w:b/>
      <w:sz w:val="24"/>
      <w:szCs w:val="22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9">
    <w:name w:val="Emphasis"/>
    <w:basedOn w:val="8"/>
    <w:qFormat/>
    <w:uiPriority w:val="0"/>
    <w:rPr>
      <w:i/>
    </w:rPr>
  </w:style>
  <w:style w:type="paragraph" w:customStyle="1" w:styleId="10">
    <w:name w:val="图表"/>
    <w:basedOn w:val="1"/>
    <w:qFormat/>
    <w:uiPriority w:val="0"/>
    <w:pPr>
      <w:autoSpaceDE w:val="0"/>
      <w:autoSpaceDN w:val="0"/>
      <w:spacing w:before="50" w:beforeLines="50" w:after="100" w:afterLines="100" w:line="240" w:lineRule="auto"/>
      <w:jc w:val="center"/>
    </w:pPr>
    <w:rPr>
      <w:rFonts w:ascii="Times New Roman" w:hAnsi="Times New Roman" w:eastAsia="宋体" w:cs="宋体"/>
      <w:kern w:val="0"/>
      <w:sz w:val="21"/>
      <w:szCs w:val="22"/>
    </w:rPr>
  </w:style>
  <w:style w:type="character" w:customStyle="1" w:styleId="11">
    <w:name w:val="标题 2 字符"/>
    <w:basedOn w:val="8"/>
    <w:link w:val="3"/>
    <w:qFormat/>
    <w:uiPriority w:val="9"/>
    <w:rPr>
      <w:rFonts w:ascii="Arial" w:hAnsi="Arial" w:eastAsia="黑体"/>
      <w:kern w:val="2"/>
      <w:sz w:val="30"/>
      <w:szCs w:val="22"/>
    </w:rPr>
  </w:style>
  <w:style w:type="character" w:customStyle="1" w:styleId="12">
    <w:name w:val="标题 3 字符"/>
    <w:basedOn w:val="8"/>
    <w:link w:val="4"/>
    <w:qFormat/>
    <w:uiPriority w:val="9"/>
    <w:rPr>
      <w:rFonts w:eastAsia="黑体" w:asciiTheme="minorAscii" w:hAnsiTheme="minorAscii"/>
      <w:b/>
      <w:kern w:val="2"/>
      <w:sz w:val="24"/>
      <w:szCs w:val="22"/>
    </w:rPr>
  </w:style>
  <w:style w:type="character" w:customStyle="1" w:styleId="13">
    <w:name w:val="标题 1 字符"/>
    <w:link w:val="2"/>
    <w:qFormat/>
    <w:uiPriority w:val="9"/>
    <w:rPr>
      <w:rFonts w:ascii="Times New Roman" w:hAnsi="Times New Roman" w:eastAsia="黑体"/>
      <w:b/>
      <w:bCs/>
      <w:kern w:val="44"/>
      <w:sz w:val="28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contractReview xmlns="http://schemas.wps.cn/vas-ai-hub/contract-review">
  <reviewItems>
    <reviewItem>
      <errorID>39f93b54-9e56-42ab-b6b6-90af692ed8ec</errorID>
      <errorWord>课程表</errorWord>
      <group>L1_Word</group>
      <groupName>字词问题</groupName>
      <ability>L2_Typo</ability>
      <abilityName>字词错误</abilityName>
      <candidateList>
        <item>课程</item>
      </candidateList>
      <explain/>
      <paraID>7031D9F5</paraID>
      <start>17</start>
      <end>19</end>
      <status>modified</status>
      <modifiedWord>课程</modifiedWord>
      <trackRevisions>false</trackRevisions>
    </reviewItem>
    <reviewItem>
      <errorID>124184ee-f9a7-4fb0-a17e-175f9d7989d0</errorID>
      <errorWord>年</errorWord>
      <group>L1_Word</group>
      <groupName>字词问题</groupName>
      <ability>L2_Typo</ability>
      <abilityName>字词错误</abilityName>
      <candidateList>
        <item>年来</item>
      </candidateList>
      <explain/>
      <paraID>7AA4572A</paraID>
      <start>52</start>
      <end>54</end>
      <status>modified</status>
      <modifiedWord>年来</modifiedWord>
      <trackRevisions>false</trackRevisions>
    </reviewItem>
    <reviewItem>
      <errorID>a4704136-0ccd-4091-9d75-9a8a8960bf71</errorID>
      <errorWord>如何</errorWord>
      <group>L1_Word</group>
      <groupName>字词问题</groupName>
      <ability>L2_Typo</ability>
      <abilityName>字词错误</abilityName>
      <candidateList>
        <item>何</item>
      </candidateList>
      <explain/>
      <paraID>7AA4572A</paraID>
      <start>69</start>
      <end>70</end>
      <status>modified</status>
      <modifiedWord>何</modifiedWord>
      <trackRevisions>false</trackRevisions>
    </reviewItem>
    <reviewItem>
      <errorID>59a0d3fd-f577-4ea1-8b21-2139ffc4496c</errorID>
      <errorWord>1-2天</errorWord>
      <group>L1_Word</group>
      <groupName>字词问题</groupName>
      <ability>L2_Typo</ability>
      <abilityName>字词错误</abilityName>
      <candidateList>
        <item>1～2天</item>
      </candidateList>
      <explain/>
      <paraID>54ABCD71</paraID>
      <start>1</start>
      <end>5</end>
      <status>modified</status>
      <modifiedWord>1～2天</modifiedWord>
      <trackRevisions>false</trackRevisions>
    </reviewItem>
    <reviewItem>
      <errorID>b51006f7-5824-4757-890f-0333120d1a2a</errorID>
      <errorWord>学校</errorWord>
      <group>L1_Word</group>
      <groupName>字词问题</groupName>
      <ability>L2_Typo</ability>
      <abilityName>字词错误</abilityName>
      <candidateList>
        <item>学习</item>
      </candidateList>
      <explain/>
      <paraID>4579CFF4</paraID>
      <start>16</start>
      <end>18</end>
      <status>modified</status>
      <modifiedWord>学习</modifiedWord>
      <trackRevisions>false</trackRevisions>
    </reviewItem>
    <reviewItem>
      <errorID>10eb1907-5a54-4b3f-b84c-f7c9b1b37c3b</errorID>
      <errorWord>3-4天</errorWord>
      <group>L1_Word</group>
      <groupName>字词问题</groupName>
      <ability>L2_Typo</ability>
      <abilityName>字词错误</abilityName>
      <candidateList>
        <item>3～4天</item>
      </candidateList>
      <explain/>
      <paraID>3ECB736E</paraID>
      <start>1</start>
      <end>5</end>
      <status>modified</status>
      <modifiedWord>3～4天</modifiedWord>
      <trackRevisions>false</trackRevisions>
    </reviewItem>
    <reviewItem>
      <errorID>3ef61da8-3c09-43de-92ea-e7d494663589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164E1299</paraID>
      <start>2</start>
      <end>3</end>
      <status>modified</status>
      <modifiedWord>—</modifiedWord>
      <trackRevisions>false</trackRevisions>
    </reviewItem>
    <reviewItem>
      <errorID>9f78dbdd-3423-46ec-ab91-162ee79f1ae1</errorID>
      <errorWord>11-12天</errorWord>
      <group>L1_Word</group>
      <groupName>字词问题</groupName>
      <ability>L2_Typo</ability>
      <abilityName>字词错误</abilityName>
      <candidateList>
        <item>11～12天</item>
      </candidateList>
      <explain/>
      <paraID>3416C0A4</paraID>
      <start>1</start>
      <end>7</end>
      <status>modified</status>
      <modifiedWord>11～12天</modifiedWord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59d1842-341b-48eb-90c9-2d4d0b6e674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1817</Words>
  <Characters>2134</Characters>
  <Lines>0</Lines>
  <Paragraphs>0</Paragraphs>
  <TotalTime>0</TotalTime>
  <ScaleCrop>false</ScaleCrop>
  <LinksUpToDate>false</LinksUpToDate>
  <CharactersWithSpaces>2188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2026-03-11T13:22:00Z</dcterms:created>
  <dc:creator>周伟</dc:creator>
  <cp:lastModifiedBy>周伟</cp:lastModifiedBy>
  <cp:lastPrinted>2026-03-14T08:38:42Z</cp:lastPrinted>
  <dcterms:modified xsi:type="dcterms:W3CDTF">2026-03-14T08:39:39Z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3D9D852039874CAC9E39E5944263FB92_13</vt:lpwstr>
  </property>
  <property fmtid="{D5CDD505-2E9C-101B-9397-08002B2CF9AE}" pid="4" name="KSOTemplateDocerSaveRecord">
    <vt:lpwstr>eyJoZGlkIjoiNjgxYzYxMmM1OTQ2YzRjZWZlZWNiYjRiYmQwNDI4YTQiLCJ1c2VySWQiOiI0NjM0MjQ2ODMifQ==</vt:lpwstr>
  </property>
</Properties>
</file>