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olors1.xml" ContentType="application/vnd.ms-office.chartcolorstyle+xml"/>
  <Override PartName="/word/charts/colors2.xml" ContentType="application/vnd.ms-office.chartcolorstyle+xml"/>
  <Override PartName="/word/charts/colors3.xml" ContentType="application/vnd.ms-office.chartcolorstyle+xml"/>
  <Override PartName="/word/charts/colors4.xml" ContentType="application/vnd.ms-office.chartcolorstyle+xml"/>
  <Override PartName="/word/charts/colors5.xml" ContentType="application/vnd.ms-office.chartcolorstyle+xml"/>
  <Override PartName="/word/charts/colors6.xml" ContentType="application/vnd.ms-office.chartcolorstyle+xml"/>
  <Override PartName="/word/charts/colors7.xml" ContentType="application/vnd.ms-office.chartcolorstyle+xml"/>
  <Override PartName="/word/charts/style1.xml" ContentType="application/vnd.ms-office.chartstyle+xml"/>
  <Override PartName="/word/charts/style2.xml" ContentType="application/vnd.ms-office.chartstyle+xml"/>
  <Override PartName="/word/charts/style3.xml" ContentType="application/vnd.ms-office.chartstyle+xml"/>
  <Override PartName="/word/charts/style4.xml" ContentType="application/vnd.ms-office.chartstyle+xml"/>
  <Override PartName="/word/charts/style5.xml" ContentType="application/vnd.ms-office.chartstyle+xml"/>
  <Override PartName="/word/charts/style6.xml" ContentType="application/vnd.ms-office.chartstyle+xml"/>
  <Override PartName="/word/charts/style7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theme/themeOverride1.xml" ContentType="application/vnd.openxmlformats-officedocument.themeOverride+xml"/>
  <Override PartName="/word/theme/themeOverride2.xml" ContentType="application/vnd.openxmlformats-officedocument.themeOverrid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C5C7F"/>
    <w:p w14:paraId="4934AC53"/>
    <w:p w14:paraId="48AAB2A2"/>
    <w:p w14:paraId="3326BB77"/>
    <w:p w14:paraId="32A79C3A"/>
    <w:p w14:paraId="0239329E"/>
    <w:p w14:paraId="2EF1410A"/>
    <w:p w14:paraId="10C3D84F">
      <w:pPr>
        <w:jc w:val="center"/>
        <w:rPr>
          <w:rFonts w:hint="eastAsia" w:ascii="宋体" w:hAnsi="宋体"/>
          <w:b/>
          <w:bCs/>
          <w:sz w:val="52"/>
          <w:szCs w:val="48"/>
        </w:rPr>
      </w:pPr>
      <w:r>
        <w:rPr>
          <w:rFonts w:hint="eastAsia" w:ascii="宋体" w:hAnsi="宋体"/>
          <w:b/>
          <w:bCs/>
          <w:sz w:val="52"/>
          <w:szCs w:val="48"/>
        </w:rPr>
        <w:t>制剂工艺条件对辛伐他汀缓释片</w:t>
      </w:r>
    </w:p>
    <w:p w14:paraId="559C1CE3">
      <w:pPr>
        <w:jc w:val="center"/>
        <w:rPr>
          <w:rFonts w:hint="eastAsia" w:ascii="宋体" w:hAnsi="宋体"/>
          <w:b/>
          <w:bCs/>
          <w:sz w:val="52"/>
          <w:szCs w:val="48"/>
        </w:rPr>
      </w:pPr>
      <w:r>
        <w:rPr>
          <w:rFonts w:hint="eastAsia" w:ascii="宋体" w:hAnsi="宋体"/>
          <w:b/>
          <w:bCs/>
          <w:sz w:val="52"/>
          <w:szCs w:val="48"/>
        </w:rPr>
        <w:t>释放度的影响研究</w:t>
      </w:r>
    </w:p>
    <w:p w14:paraId="2FAAA01D">
      <w:pPr>
        <w:jc w:val="center"/>
        <w:rPr>
          <w:rFonts w:hint="eastAsia" w:ascii="宋体" w:hAnsi="宋体"/>
          <w:b/>
          <w:bCs/>
          <w:sz w:val="52"/>
          <w:szCs w:val="48"/>
        </w:rPr>
      </w:pPr>
    </w:p>
    <w:p w14:paraId="57163F06">
      <w:pPr>
        <w:jc w:val="center"/>
        <w:rPr>
          <w:rFonts w:ascii="宋体" w:hAnsi="宋体"/>
          <w:b/>
          <w:bCs/>
          <w:sz w:val="80"/>
          <w:szCs w:val="80"/>
        </w:rPr>
      </w:pPr>
      <w:r>
        <w:rPr>
          <w:rFonts w:hint="eastAsia" w:ascii="宋体" w:hAnsi="宋体"/>
          <w:b/>
          <w:bCs/>
          <w:sz w:val="80"/>
          <w:szCs w:val="80"/>
        </w:rPr>
        <w:t>项目</w:t>
      </w:r>
      <w:r>
        <w:rPr>
          <w:rFonts w:hint="eastAsia" w:ascii="宋体" w:hAnsi="宋体"/>
          <w:b/>
          <w:bCs/>
          <w:sz w:val="80"/>
          <w:szCs w:val="80"/>
          <w:lang w:val="en-US" w:eastAsia="zh-CN"/>
        </w:rPr>
        <w:t>学习结题</w:t>
      </w:r>
      <w:r>
        <w:rPr>
          <w:rFonts w:hint="eastAsia" w:ascii="宋体" w:hAnsi="宋体"/>
          <w:b/>
          <w:bCs/>
          <w:sz w:val="80"/>
          <w:szCs w:val="80"/>
        </w:rPr>
        <w:t>报告</w:t>
      </w:r>
    </w:p>
    <w:p w14:paraId="2533EF2D"/>
    <w:p w14:paraId="207FF7CB"/>
    <w:p w14:paraId="4AE3EFFC"/>
    <w:p w14:paraId="23DF43C4"/>
    <w:p w14:paraId="36FF62FD"/>
    <w:p w14:paraId="6CDD3BA9"/>
    <w:p w14:paraId="76028E33"/>
    <w:p w14:paraId="39A3A952"/>
    <w:p w14:paraId="46C28DC9"/>
    <w:p w14:paraId="5D02CF5E"/>
    <w:p w14:paraId="0070612B"/>
    <w:p w14:paraId="2EDFE1F8">
      <w:pPr>
        <w:ind w:firstLine="643" w:firstLineChars="200"/>
        <w:rPr>
          <w:rFonts w:ascii="仿宋_GB2312" w:hAnsi="宋体" w:eastAsia="仿宋_GB2312"/>
          <w:bCs/>
          <w:sz w:val="28"/>
          <w:u w:val="single"/>
        </w:rPr>
      </w:pPr>
      <w:r>
        <w:rPr>
          <w:rFonts w:hint="eastAsia" w:ascii="仿宋_GB2312" w:hAnsi="宋体" w:eastAsia="仿宋_GB2312"/>
          <w:b/>
          <w:bCs/>
          <w:sz w:val="32"/>
        </w:rPr>
        <w:t>项目组成员：</w:t>
      </w:r>
      <w:r>
        <w:rPr>
          <w:rFonts w:hint="eastAsia" w:ascii="仿宋_GB2312" w:hAnsi="宋体" w:eastAsia="仿宋_GB2312"/>
          <w:b/>
          <w:bCs/>
          <w:sz w:val="32"/>
          <w:u w:val="single"/>
        </w:rPr>
        <w:t xml:space="preserve"> </w:t>
      </w:r>
      <w:r>
        <w:rPr>
          <w:rFonts w:hint="eastAsia" w:ascii="仿宋_GB2312" w:hAnsi="宋体" w:eastAsia="仿宋_GB2312"/>
          <w:b/>
          <w:bCs/>
          <w:sz w:val="32"/>
          <w:u w:val="single"/>
          <w:lang w:val="en-US" w:eastAsia="zh-CN"/>
        </w:rPr>
        <w:t xml:space="preserve">         牛一如</w:t>
      </w:r>
      <w:r>
        <w:rPr>
          <w:rFonts w:hint="eastAsia" w:ascii="仿宋_GB2312" w:hAnsi="宋体" w:eastAsia="仿宋_GB2312"/>
          <w:b/>
          <w:bCs/>
          <w:sz w:val="28"/>
          <w:u w:val="single"/>
        </w:rPr>
        <w:t xml:space="preserve">       </w:t>
      </w:r>
      <w:r>
        <w:rPr>
          <w:rFonts w:hint="eastAsia" w:ascii="仿宋_GB2312" w:hAnsi="宋体" w:eastAsia="仿宋_GB2312"/>
          <w:bCs/>
          <w:sz w:val="28"/>
          <w:u w:val="single"/>
        </w:rPr>
        <w:t xml:space="preserve">             </w:t>
      </w:r>
    </w:p>
    <w:p w14:paraId="26A41E30">
      <w:pPr>
        <w:ind w:firstLine="643" w:firstLineChars="200"/>
        <w:rPr>
          <w:rFonts w:ascii="仿宋_GB2312" w:hAnsi="宋体" w:eastAsia="仿宋_GB2312"/>
          <w:b/>
          <w:bCs/>
          <w:sz w:val="32"/>
          <w:u w:val="single"/>
        </w:rPr>
      </w:pPr>
      <w:r>
        <w:rPr>
          <w:rFonts w:hint="eastAsia" w:ascii="仿宋_GB2312" w:hAnsi="宋体" w:eastAsia="仿宋_GB2312"/>
          <w:b/>
          <w:bCs/>
          <w:sz w:val="32"/>
        </w:rPr>
        <w:t>指导教师：</w:t>
      </w:r>
      <w:r>
        <w:rPr>
          <w:rFonts w:hint="eastAsia" w:ascii="仿宋_GB2312" w:hAnsi="宋体" w:eastAsia="仿宋_GB2312"/>
          <w:b/>
          <w:bCs/>
          <w:sz w:val="32"/>
          <w:u w:val="single"/>
        </w:rPr>
        <w:t xml:space="preserve">   </w:t>
      </w:r>
      <w:r>
        <w:rPr>
          <w:rFonts w:hint="eastAsia" w:ascii="仿宋_GB2312" w:hAnsi="宋体" w:eastAsia="仿宋_GB2312"/>
          <w:b/>
          <w:bCs/>
          <w:sz w:val="32"/>
          <w:u w:val="single"/>
          <w:lang w:val="en-US" w:eastAsia="zh-CN"/>
        </w:rPr>
        <w:t xml:space="preserve">         </w:t>
      </w:r>
      <w:r>
        <w:rPr>
          <w:rFonts w:hint="eastAsia" w:ascii="仿宋_GB2312" w:hAnsi="宋体" w:eastAsia="仿宋_GB2312"/>
          <w:b/>
          <w:bCs/>
          <w:sz w:val="32"/>
          <w:u w:val="single"/>
        </w:rPr>
        <w:t xml:space="preserve">广玉兰  </w:t>
      </w:r>
      <w:r>
        <w:rPr>
          <w:rFonts w:ascii="仿宋_GB2312" w:hAnsi="宋体" w:eastAsia="仿宋_GB2312"/>
          <w:b/>
          <w:bCs/>
          <w:sz w:val="32"/>
          <w:u w:val="single"/>
        </w:rPr>
        <w:t xml:space="preserve">        </w:t>
      </w:r>
      <w:r>
        <w:rPr>
          <w:rFonts w:hint="eastAsia" w:ascii="仿宋_GB2312" w:hAnsi="宋体" w:eastAsia="仿宋_GB2312"/>
          <w:b/>
          <w:bCs/>
          <w:sz w:val="32"/>
          <w:u w:val="single"/>
        </w:rPr>
        <w:t xml:space="preserve">        </w:t>
      </w:r>
    </w:p>
    <w:p w14:paraId="54160CF8">
      <w:pPr>
        <w:ind w:firstLine="643" w:firstLineChars="200"/>
      </w:pPr>
      <w:r>
        <w:rPr>
          <w:rFonts w:hint="eastAsia" w:ascii="仿宋_GB2312" w:hAnsi="宋体" w:eastAsia="仿宋_GB2312"/>
          <w:b/>
          <w:bCs/>
          <w:sz w:val="32"/>
        </w:rPr>
        <w:t>所在学校：</w:t>
      </w:r>
      <w:r>
        <w:rPr>
          <w:rFonts w:hint="eastAsia" w:ascii="仿宋_GB2312" w:hAnsi="宋体" w:eastAsia="仿宋_GB2312"/>
          <w:b/>
          <w:bCs/>
          <w:sz w:val="32"/>
          <w:u w:val="single"/>
        </w:rPr>
        <w:t xml:space="preserve">       徐州</w:t>
      </w:r>
      <w:r>
        <w:rPr>
          <w:rFonts w:hint="eastAsia" w:ascii="仿宋_GB2312" w:hAnsi="宋体" w:eastAsia="仿宋_GB2312"/>
          <w:b/>
          <w:bCs/>
          <w:sz w:val="32"/>
          <w:u w:val="single"/>
          <w:lang w:val="en-US" w:eastAsia="zh-CN"/>
        </w:rPr>
        <w:t>市</w:t>
      </w:r>
      <w:r>
        <w:rPr>
          <w:rFonts w:hint="eastAsia" w:ascii="仿宋_GB2312" w:hAnsi="宋体" w:eastAsia="仿宋_GB2312"/>
          <w:b/>
          <w:bCs/>
          <w:sz w:val="32"/>
          <w:u w:val="single"/>
        </w:rPr>
        <w:t xml:space="preserve">矿大实验学校           </w:t>
      </w:r>
      <w:bookmarkStart w:id="0" w:name="_GoBack"/>
      <w:bookmarkEnd w:id="0"/>
    </w:p>
    <w:p w14:paraId="2257A62B"/>
    <w:p w14:paraId="42DBECA8"/>
    <w:p w14:paraId="2C90DD8B"/>
    <w:p w14:paraId="15A7284E"/>
    <w:p w14:paraId="21680C24">
      <w:pPr>
        <w:jc w:val="center"/>
      </w:pPr>
      <w:r>
        <w:rPr>
          <w:rFonts w:hint="eastAsia" w:ascii="仿宋_GB2312" w:hAnsi="宋体" w:eastAsia="仿宋_GB2312"/>
          <w:b/>
          <w:bCs/>
          <w:sz w:val="32"/>
          <w:u w:val="none"/>
        </w:rPr>
        <w:t>20</w:t>
      </w:r>
      <w:r>
        <w:rPr>
          <w:rFonts w:ascii="仿宋_GB2312" w:hAnsi="宋体" w:eastAsia="仿宋_GB2312"/>
          <w:b/>
          <w:bCs/>
          <w:sz w:val="32"/>
          <w:u w:val="none"/>
        </w:rPr>
        <w:t>2</w:t>
      </w:r>
      <w:r>
        <w:rPr>
          <w:rFonts w:hint="eastAsia" w:ascii="仿宋_GB2312" w:hAnsi="宋体" w:eastAsia="仿宋_GB2312"/>
          <w:b/>
          <w:bCs/>
          <w:sz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/>
          <w:b/>
          <w:bCs/>
          <w:sz w:val="32"/>
          <w:u w:val="none"/>
        </w:rPr>
        <w:t>年</w:t>
      </w:r>
      <w:r>
        <w:rPr>
          <w:rFonts w:hint="eastAsia" w:ascii="仿宋_GB2312" w:hAnsi="宋体" w:eastAsia="仿宋_GB2312"/>
          <w:b/>
          <w:bCs/>
          <w:sz w:val="32"/>
          <w:u w:val="none"/>
          <w:lang w:val="en-US" w:eastAsia="zh-CN"/>
        </w:rPr>
        <w:t>12</w:t>
      </w:r>
      <w:r>
        <w:rPr>
          <w:rFonts w:hint="eastAsia" w:ascii="仿宋_GB2312" w:hAnsi="宋体" w:eastAsia="仿宋_GB2312"/>
          <w:b/>
          <w:bCs/>
          <w:sz w:val="32"/>
          <w:u w:val="none"/>
        </w:rPr>
        <w:t>月</w:t>
      </w:r>
      <w:r>
        <w:rPr>
          <w:rFonts w:hint="eastAsia" w:ascii="仿宋_GB2312" w:hAnsi="宋体" w:eastAsia="仿宋_GB2312"/>
          <w:b/>
          <w:bCs/>
          <w:sz w:val="32"/>
          <w:u w:val="none"/>
          <w:lang w:val="en-US" w:eastAsia="zh-CN"/>
        </w:rPr>
        <w:t>10</w:t>
      </w:r>
      <w:r>
        <w:rPr>
          <w:rFonts w:hint="eastAsia" w:ascii="仿宋_GB2312" w:hAnsi="宋体" w:eastAsia="仿宋_GB2312"/>
          <w:b/>
          <w:bCs/>
          <w:sz w:val="32"/>
          <w:u w:val="none"/>
        </w:rPr>
        <w:t>日</w:t>
      </w:r>
    </w:p>
    <w:p w14:paraId="2E6B482F"/>
    <w:p w14:paraId="273F5F17"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辛伐他汀是临床较为常用的一种口服降血脂药物，属于3-羟基-3-甲基戊二酰辅酶A 还原酶抑制剂，能抑制体内胆固醇的合成，降低血浆中胆固醇浓度，同时降低体内低密度脂蛋白和三酰甘油水平。2009年辛伐他汀入选《国家基本药物目录》，属于基础医疗体系必备药物之一。《中国药典》收载的辛伐他汀制剂为普通片和胶囊剂两种剂型。目前国内外辛伐他汀普通片和胶囊剂的规格均为5mg、10mg、20mg、40mg。</w:t>
      </w:r>
    </w:p>
    <w:p w14:paraId="60738F28"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亲水凝胶骨架缓释片是缓释制剂研究的热点之一，其骨架材料为亲水性的高分子材料，口服后遇水形成凝胶屏障控制药物释放，该类片剂具有制备方法简单、药物释放完全、生物利用度高等优点。羟丙基甲基纤维素(HPMC)为甲氧基和羟丙基取代的纤维素醚类衍生物，高黏度HPMC具有明显的阻滞释药性能，为常用的缓释片剂的骨架材料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　　血脂调节需要长期给药，为获得作用持久、疗效稳定、毒副作用小的理想制剂，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我们</w:t>
      </w:r>
      <w:r>
        <w:rPr>
          <w:rFonts w:hint="eastAsia" w:asciiTheme="minorEastAsia" w:hAnsiTheme="minorEastAsia" w:cstheme="minorEastAsia"/>
          <w:sz w:val="24"/>
        </w:rPr>
        <w:t>以HPMC为骨架材料，研制辛伐他汀亲水凝胶骨架缓释片，并对缓释片进行处方筛选及体外释放度考察。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　　</w:t>
      </w:r>
      <w:r>
        <w:rPr>
          <w:rFonts w:hint="eastAsia" w:asciiTheme="minorEastAsia" w:hAnsiTheme="minorEastAsia" w:cstheme="minorEastAsia"/>
          <w:b/>
          <w:bCs/>
          <w:sz w:val="24"/>
        </w:rPr>
        <w:t>1仪器与试药</w:t>
      </w:r>
      <w:r>
        <w:rPr>
          <w:rFonts w:hint="eastAsia" w:asciiTheme="minorEastAsia" w:hAnsiTheme="minorEastAsia" w:cstheme="minorEastAsia"/>
          <w:b/>
          <w:bCs/>
          <w:sz w:val="24"/>
        </w:rPr>
        <w:br w:type="textWrapping"/>
      </w:r>
      <w:r>
        <w:rPr>
          <w:rFonts w:hint="eastAsia" w:asciiTheme="minorEastAsia" w:hAnsiTheme="minorEastAsia" w:cstheme="minorEastAsia"/>
          <w:b/>
          <w:bCs/>
          <w:sz w:val="24"/>
        </w:rPr>
        <w:t>　　1.1仪器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　　FA1004A电子天平（上海舜宇恒平），SP-2500型束外可见分光度计（上海光谱仪器有限公司)，TDB-115T单冲压片机（上海力超电机有限公司)，RC-8D溶出度测试仪（天津市光学仪器厂)。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　　</w:t>
      </w:r>
      <w:r>
        <w:rPr>
          <w:rFonts w:hint="eastAsia" w:asciiTheme="minorEastAsia" w:hAnsiTheme="minorEastAsia" w:cstheme="minorEastAsia"/>
          <w:b/>
          <w:bCs/>
          <w:sz w:val="24"/>
        </w:rPr>
        <w:t>1.2试药</w:t>
      </w:r>
      <w:r>
        <w:rPr>
          <w:rFonts w:hint="eastAsia" w:asciiTheme="minorEastAsia" w:hAnsiTheme="minorEastAsia" w:cstheme="minorEastAsia"/>
          <w:b/>
          <w:bCs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　　辛伐他汀（浙江海正药业股份有限公司，批号：B2080532,纯度：98.2%)，辛伐他汀对照品（中国药品生物制品检定所，批号：202002，纯度：100.0%);HPMC(上海昌为医药辅料技术有限公司，型号：K4M、K15M、K100M),乳糖、聚维酮(PVP,型号：K30)、微晶纤维素(MCC)、乙基纤维素(EC)均为药用辅料；其它为分析纯试剂；辛伐他汀亲水凝胶骨架缓释片（自制，规格：每片20mg)，辛伐他汀片（浙江京新药业股份有限公司，规格：每片10mg,批号1911031)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　　</w:t>
      </w:r>
      <w:r>
        <w:rPr>
          <w:rFonts w:hint="eastAsia" w:asciiTheme="minorEastAsia" w:hAnsiTheme="minorEastAsia" w:cstheme="minorEastAsia"/>
          <w:b/>
          <w:bCs/>
          <w:sz w:val="24"/>
        </w:rPr>
        <w:t>2方法与结果</w:t>
      </w:r>
      <w:r>
        <w:rPr>
          <w:rFonts w:hint="eastAsia" w:asciiTheme="minorEastAsia" w:hAnsiTheme="minorEastAsia" w:cstheme="minorEastAsia"/>
          <w:b/>
          <w:bCs/>
          <w:sz w:val="24"/>
        </w:rPr>
        <w:br w:type="textWrapping"/>
      </w:r>
      <w:r>
        <w:rPr>
          <w:rFonts w:hint="eastAsia" w:asciiTheme="minorEastAsia" w:hAnsiTheme="minorEastAsia" w:cstheme="minorEastAsia"/>
          <w:b/>
          <w:bCs/>
          <w:sz w:val="24"/>
        </w:rPr>
        <w:t>　　2.1辛他汀缓释片备方法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　　将辛伐他汀和HPMC、乳糖、MCC、硬脂酸镁等辅料分别粉碎过80目筛。取处方量辛伐他汀、HPMC、填充剂、十二烷基硫酸钠(SDS),混匀，加适量黏合剂采用搅拌方法制软材，颗粒机中过14目筛挤压制湿颗粒，40℃～50℃干燥，过12目筛整粒。制得干燥颗粒加硬脂酸镁、微粉硅胶，混匀，压片，制成每片含辛伐他汀20mg的缓释片，硬度保持在40N以上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　</w:t>
      </w:r>
      <w:r>
        <w:rPr>
          <w:rFonts w:hint="eastAsia" w:asciiTheme="minorEastAsia" w:hAnsiTheme="minorEastAsia" w:cstheme="minorEastAsia"/>
          <w:b/>
          <w:bCs/>
          <w:sz w:val="24"/>
        </w:rPr>
        <w:t>　2.2释放度测定方法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　　2.2.1吸收波长选择  查阅相关文献结果表明，辛伐他汀在磷酸盐缓冲溶液中于238nm波长处有最大吸收，而辅料在扫描波长范围内对检测无干扰。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　　2.2.2标准曲线绘制  精密称取辛伐他汀对照品10.0mg,置于100ml量瓶中，加适量pH7.0磷酸盐缓冲溶液溶解，稀释定容。从上述溶液中精密量取1,2,4,6,8,10mL分别置于50mL容量瓶中，加缓冲溶液稀释定容，在238nm波长处测定吸收度。以吸光度(A)对质量浓度(C)作线性回归，得方程：A=0.0446C-0.0368,r=0.9998,结果表明辛伐他汀在2～20μg/ml内线性关系良好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　　2.2.3回收率实验  精密称取辛伐他汀适量，加pH7.0磷酸盐缓冲溶液配成5、10、15μg/ml的药物溶液各3份，按处方比例加入各种辅料，测定238nm波长处吸收度，计算回收率，平均回收率为100.1%，RSD为0.8%。结果表明本方法可以作为体外释放度测定的定量方法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　　2.2.4释放度测定方法  取所制备缓释片，采用中国药典2020年版通则0931第二法（桨法），以含0.5%十二烷基硫酸钠的0.01mol/L磷酸二氢钠缓冲液（用50%氢氧化钠溶液调节pH值至7.0）900ml为溶出介质，转速为每分钟50转，温度36.5C～37.5C,分别于0.5、1、2、4、6、8、10、12h取样6ml(及时补加等量同温度释放介质)，用0.8μm微孔滤膜过滤，滤液于238nm波长处测定其吸收度，计算药物不同时间的累积释放度(%)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　　</w:t>
      </w:r>
      <w:r>
        <w:rPr>
          <w:rFonts w:hint="eastAsia" w:asciiTheme="minorEastAsia" w:hAnsiTheme="minorEastAsia" w:cstheme="minorEastAsia"/>
          <w:b/>
          <w:bCs/>
          <w:sz w:val="24"/>
        </w:rPr>
        <w:t>2.3辛伐他汀缓释片处方考察</w:t>
      </w:r>
      <w:r>
        <w:rPr>
          <w:rFonts w:hint="eastAsia" w:asciiTheme="minorEastAsia" w:hAnsiTheme="minorEastAsia" w:cstheme="minorEastAsia"/>
          <w:b/>
          <w:bCs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　　处方初定如下：辛伐他汀20mg,HPMC35mg,乳糖60mg,SDS3mg,硬脂酸镁与微粉硅胶均为1%，10%PVP乙醇溶液适量。改变处方成分及质量，根据“2.1”项下方法制备缓释片，对不同因素进行考察。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　　2.3.1 HPMC黏度察  选用三种度格的HPMC(K4M,K15M,K100M),得缓释片，考察HPMC黏度对药物释放的影响，结果见图1。</w:t>
      </w:r>
    </w:p>
    <w:p w14:paraId="7C130768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767080</wp:posOffset>
            </wp:positionH>
            <wp:positionV relativeFrom="paragraph">
              <wp:posOffset>139700</wp:posOffset>
            </wp:positionV>
            <wp:extent cx="4155440" cy="2192020"/>
            <wp:effectExtent l="5080" t="5080" r="5080" b="12700"/>
            <wp:wrapTopAndBottom/>
            <wp:docPr id="3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</w:p>
    <w:p w14:paraId="5A600EAE"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由结果可见，随着HPMC黏度增大，释药速率逐渐减小。HPMC具有不同的型号规格，根据其水化速率大小，实验中选择了水化速率最大的K型，水化速率越大越容易形成凝胶层从而较好的控制药物释放。HPMC的黏度越大，则水化速度越快、凝胶层黏度越大、溶蚀越慢、药物释放速率越慢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　　2.3.2 HPMC用量考察  确定HPMC(K15M)为架材料，选用不同用量，使其与主药质量比分别为0.75：1、1.5：1、2.25：1，制得缓释片，考察HPMC用量对药物释放的影响，结果见图2。</w:t>
      </w:r>
    </w:p>
    <w:p w14:paraId="11759A9D">
      <w:pPr>
        <w:spacing w:line="360" w:lineRule="auto"/>
        <w:rPr>
          <w:rFonts w:asciiTheme="minorEastAsia" w:hAnsiTheme="minorEastAsia" w:cstheme="minorEastAsia"/>
          <w:spacing w:val="15"/>
          <w:sz w:val="24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173990</wp:posOffset>
            </wp:positionV>
            <wp:extent cx="4362450" cy="2743200"/>
            <wp:effectExtent l="0" t="0" r="6350" b="0"/>
            <wp:wrapTopAndBottom/>
            <wp:docPr id="2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  <w:r>
        <w:rPr>
          <w:rFonts w:hint="eastAsia"/>
        </w:rPr>
        <w:t xml:space="preserve">    </w:t>
      </w:r>
      <w:r>
        <w:rPr>
          <w:rFonts w:hint="eastAsia" w:asciiTheme="minorEastAsia" w:hAnsiTheme="minorEastAsia" w:cstheme="minorEastAsia"/>
          <w:spacing w:val="-9"/>
          <w:sz w:val="24"/>
        </w:rPr>
        <w:t>由结果可见，随着</w:t>
      </w:r>
      <w:r>
        <w:rPr>
          <w:rFonts w:hint="eastAsia" w:asciiTheme="minorEastAsia" w:hAnsiTheme="minorEastAsia" w:cstheme="minorEastAsia"/>
          <w:spacing w:val="-28"/>
          <w:sz w:val="24"/>
        </w:rPr>
        <w:t xml:space="preserve"> </w:t>
      </w:r>
      <w:r>
        <w:rPr>
          <w:rFonts w:hint="eastAsia" w:asciiTheme="minorEastAsia" w:hAnsiTheme="minorEastAsia" w:cstheme="minorEastAsia"/>
          <w:spacing w:val="-9"/>
          <w:sz w:val="24"/>
        </w:rPr>
        <w:t>HPMC用量增大， 凝胶层</w:t>
      </w:r>
      <w:r>
        <w:rPr>
          <w:rFonts w:hint="eastAsia" w:asciiTheme="minorEastAsia" w:hAnsiTheme="minorEastAsia" w:cstheme="minorEastAsia"/>
          <w:spacing w:val="-4"/>
          <w:sz w:val="24"/>
        </w:rPr>
        <w:t>增厚，释药速率逐渐减小。HPMC在片剂中的含</w:t>
      </w:r>
      <w:r>
        <w:rPr>
          <w:rFonts w:hint="eastAsia" w:asciiTheme="minorEastAsia" w:hAnsiTheme="minorEastAsia" w:cstheme="minorEastAsia"/>
          <w:spacing w:val="7"/>
          <w:sz w:val="24"/>
        </w:rPr>
        <w:t>量对其释放速率起着重要的作用，用量增加，凝</w:t>
      </w:r>
      <w:r>
        <w:rPr>
          <w:rFonts w:hint="eastAsia" w:asciiTheme="minorEastAsia" w:hAnsiTheme="minorEastAsia" w:cstheme="minorEastAsia"/>
          <w:spacing w:val="1"/>
          <w:sz w:val="24"/>
        </w:rPr>
        <w:t>胶层厚度增大，骨架溶蚀变慢，药物释放也变慢。</w:t>
      </w:r>
      <w:r>
        <w:rPr>
          <w:rFonts w:hint="eastAsia" w:asciiTheme="minorEastAsia" w:hAnsiTheme="minorEastAsia" w:cstheme="minorEastAsia"/>
          <w:spacing w:val="15"/>
          <w:sz w:val="24"/>
        </w:rPr>
        <w:t xml:space="preserve"> </w:t>
      </w:r>
    </w:p>
    <w:p w14:paraId="113795E5">
      <w:pPr>
        <w:pStyle w:val="2"/>
        <w:spacing w:before="224" w:line="360" w:lineRule="auto"/>
        <w:ind w:right="255" w:firstLine="474" w:firstLineChars="200"/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2"/>
          <w:sz w:val="24"/>
          <w:szCs w:val="24"/>
          <w:lang w:eastAsia="zh-CN"/>
        </w:rPr>
        <w:t>2.3.3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  <w:lang w:eastAsia="zh-CN"/>
        </w:rPr>
        <w:t>填充剂种类考察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lang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  <w:lang w:eastAsia="zh-CN"/>
        </w:rPr>
        <w:t>选用淀粉、 MCC和乳糖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  <w:lang w:eastAsia="zh-CN"/>
        </w:rPr>
        <w:t>三种填充剂，制得缓释片，考察填充剂种类对药物释放的影响，结果见图</w:t>
      </w:r>
      <w:r>
        <w:rPr>
          <w:rFonts w:hint="eastAsia" w:asciiTheme="minorEastAsia" w:hAnsiTheme="minorEastAsia" w:eastAsiaTheme="minorEastAsia" w:cstheme="minorEastAsia"/>
          <w:spacing w:val="-39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  <w:lang w:eastAsia="zh-CN"/>
        </w:rPr>
        <w:t>3。</w:t>
      </w:r>
    </w:p>
    <w:p w14:paraId="02C80FCF"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537845</wp:posOffset>
            </wp:positionH>
            <wp:positionV relativeFrom="paragraph">
              <wp:posOffset>109855</wp:posOffset>
            </wp:positionV>
            <wp:extent cx="4451985" cy="2204085"/>
            <wp:effectExtent l="5080" t="5080" r="13335" b="13335"/>
            <wp:wrapTopAndBottom/>
            <wp:docPr id="4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pacing w:val="7"/>
          <w:sz w:val="24"/>
        </w:rPr>
        <w:t>由结果可见，填充剂种类对释药速率有一定</w:t>
      </w:r>
      <w:r>
        <w:rPr>
          <w:rFonts w:hint="eastAsia" w:asciiTheme="minorEastAsia" w:hAnsiTheme="minorEastAsia" w:cstheme="minorEastAsia"/>
          <w:spacing w:val="8"/>
          <w:sz w:val="24"/>
        </w:rPr>
        <w:t>影响，主要在于其溶解性能和粘性对药物释放存</w:t>
      </w:r>
      <w:r>
        <w:rPr>
          <w:rFonts w:hint="eastAsia" w:asciiTheme="minorEastAsia" w:hAnsiTheme="minorEastAsia" w:cstheme="minorEastAsia"/>
          <w:spacing w:val="-2"/>
          <w:sz w:val="24"/>
        </w:rPr>
        <w:t>在一定程度的影响。淀粉粘性较大，</w:t>
      </w:r>
      <w:r>
        <w:rPr>
          <w:rFonts w:hint="eastAsia" w:asciiTheme="minorEastAsia" w:hAnsiTheme="minorEastAsia" w:cstheme="minorEastAsia"/>
          <w:spacing w:val="-48"/>
          <w:sz w:val="24"/>
        </w:rPr>
        <w:t xml:space="preserve"> </w:t>
      </w:r>
      <w:r>
        <w:rPr>
          <w:rFonts w:hint="eastAsia" w:asciiTheme="minorEastAsia" w:hAnsiTheme="minorEastAsia" w:cstheme="minorEastAsia"/>
          <w:spacing w:val="-3"/>
          <w:sz w:val="24"/>
        </w:rPr>
        <w:t>药物释放较</w:t>
      </w:r>
      <w:r>
        <w:rPr>
          <w:rFonts w:hint="eastAsia" w:asciiTheme="minorEastAsia" w:hAnsiTheme="minorEastAsia" w:cstheme="minorEastAsia"/>
          <w:spacing w:val="-6"/>
          <w:sz w:val="24"/>
        </w:rPr>
        <w:t>慢，且颗粒流动性不好。乳糖能1∶5溶解于水中，</w:t>
      </w:r>
      <w:r>
        <w:rPr>
          <w:rFonts w:hint="eastAsia" w:asciiTheme="minorEastAsia" w:hAnsiTheme="minorEastAsia" w:cstheme="minorEastAsia"/>
          <w:spacing w:val="8"/>
          <w:sz w:val="24"/>
        </w:rPr>
        <w:t>因此在接触介质后迅速溶解并在片剂表面留下孔</w:t>
      </w:r>
      <w:r>
        <w:rPr>
          <w:rFonts w:hint="eastAsia" w:asciiTheme="minorEastAsia" w:hAnsiTheme="minorEastAsia" w:cstheme="minorEastAsia"/>
          <w:spacing w:val="-1"/>
          <w:sz w:val="24"/>
        </w:rPr>
        <w:t>道，有利于药物的扩散。MCC不溶于水但有</w:t>
      </w:r>
      <w:r>
        <w:rPr>
          <w:rFonts w:hint="eastAsia" w:asciiTheme="minorEastAsia" w:hAnsiTheme="minorEastAsia" w:cstheme="minorEastAsia"/>
          <w:spacing w:val="-2"/>
          <w:sz w:val="24"/>
        </w:rPr>
        <w:t>一定</w:t>
      </w:r>
      <w:r>
        <w:rPr>
          <w:rFonts w:hint="eastAsia" w:asciiTheme="minorEastAsia" w:hAnsiTheme="minorEastAsia" w:cstheme="minorEastAsia"/>
          <w:spacing w:val="3"/>
          <w:sz w:val="24"/>
        </w:rPr>
        <w:t>的崩解作用，可吸水膨胀增大片剂体积，使</w:t>
      </w:r>
      <w:r>
        <w:rPr>
          <w:rFonts w:hint="eastAsia" w:asciiTheme="minorEastAsia" w:hAnsiTheme="minorEastAsia" w:cstheme="minorEastAsia"/>
          <w:spacing w:val="2"/>
          <w:sz w:val="24"/>
        </w:rPr>
        <w:t>释药</w:t>
      </w:r>
      <w:r>
        <w:rPr>
          <w:rFonts w:hint="eastAsia" w:asciiTheme="minorEastAsia" w:hAnsiTheme="minorEastAsia" w:cstheme="minorEastAsia"/>
          <w:spacing w:val="-1"/>
          <w:sz w:val="24"/>
        </w:rPr>
        <w:t>加快。</w:t>
      </w:r>
    </w:p>
    <w:p w14:paraId="7CC52FC4">
      <w:pPr>
        <w:pStyle w:val="2"/>
        <w:spacing w:before="74" w:line="360" w:lineRule="auto"/>
        <w:ind w:left="5" w:right="60" w:firstLine="429"/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乳糖为填充剂制得片剂外观较为美观，MCC流动性和可压性较好，参考相关文献做法，选择乳糖和</w:t>
      </w:r>
      <w:r>
        <w:rPr>
          <w:rFonts w:hint="eastAsia" w:asciiTheme="minorEastAsia" w:hAnsiTheme="minorEastAsia" w:eastAsiaTheme="minorEastAsia" w:cstheme="minorEastAsia"/>
          <w:spacing w:val="-33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MCC混合(质量比</w:t>
      </w:r>
      <w:r>
        <w:rPr>
          <w:rFonts w:hint="eastAsia" w:asciiTheme="minorEastAsia" w:hAnsiTheme="minorEastAsia" w:eastAsiaTheme="minorEastAsia" w:cstheme="minorEastAsia"/>
          <w:spacing w:val="-43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2∶1)作为填充剂。</w:t>
      </w:r>
    </w:p>
    <w:p w14:paraId="0B8C1837">
      <w:pPr>
        <w:spacing w:line="360" w:lineRule="auto"/>
        <w:ind w:firstLine="494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bCs/>
          <w:spacing w:val="3"/>
          <w:sz w:val="24"/>
        </w:rPr>
        <w:t xml:space="preserve">2.3.4 </w:t>
      </w:r>
      <w:r>
        <w:rPr>
          <w:rFonts w:hint="eastAsia" w:asciiTheme="minorEastAsia" w:hAnsiTheme="minorEastAsia" w:cstheme="minorEastAsia"/>
          <w:spacing w:val="3"/>
          <w:sz w:val="24"/>
        </w:rPr>
        <w:t>填充剂用量考察</w:t>
      </w:r>
      <w:r>
        <w:rPr>
          <w:rFonts w:hint="eastAsia" w:asciiTheme="minorEastAsia" w:hAnsiTheme="minorEastAsia" w:cstheme="minorEastAsia"/>
          <w:spacing w:val="23"/>
          <w:sz w:val="24"/>
        </w:rPr>
        <w:t xml:space="preserve">  </w:t>
      </w:r>
      <w:r>
        <w:rPr>
          <w:rFonts w:hint="eastAsia" w:asciiTheme="minorEastAsia" w:hAnsiTheme="minorEastAsia" w:cstheme="minorEastAsia"/>
          <w:spacing w:val="3"/>
          <w:sz w:val="24"/>
        </w:rPr>
        <w:t>选用不同填充剂用量，</w:t>
      </w:r>
      <w:r>
        <w:rPr>
          <w:rFonts w:hint="eastAsia" w:asciiTheme="minorEastAsia" w:hAnsiTheme="minorEastAsia" w:cstheme="minorEastAsia"/>
          <w:spacing w:val="-4"/>
          <w:sz w:val="24"/>
        </w:rPr>
        <w:t>使其与主药质量比分别为</w:t>
      </w:r>
      <w:r>
        <w:rPr>
          <w:rFonts w:hint="eastAsia" w:asciiTheme="minorEastAsia" w:hAnsiTheme="minorEastAsia" w:cstheme="minorEastAsia"/>
          <w:spacing w:val="-22"/>
          <w:sz w:val="24"/>
        </w:rPr>
        <w:t xml:space="preserve"> </w:t>
      </w:r>
      <w:r>
        <w:rPr>
          <w:rFonts w:hint="eastAsia" w:asciiTheme="minorEastAsia" w:hAnsiTheme="minorEastAsia" w:cstheme="minorEastAsia"/>
          <w:spacing w:val="-4"/>
          <w:sz w:val="24"/>
        </w:rPr>
        <w:t>1.5∶1、2.5∶1、3.5∶1，</w:t>
      </w:r>
      <w:r>
        <w:rPr>
          <w:rFonts w:hint="eastAsia" w:asciiTheme="minorEastAsia" w:hAnsiTheme="minorEastAsia" w:cstheme="minorEastAsia"/>
          <w:spacing w:val="-3"/>
          <w:sz w:val="24"/>
        </w:rPr>
        <w:t>制得缓释片，考察填充剂用量对药物释放的影响，</w:t>
      </w:r>
      <w:r>
        <w:rPr>
          <w:rFonts w:hint="eastAsia" w:asciiTheme="minorEastAsia" w:hAnsiTheme="minorEastAsia" w:cstheme="minorEastAsia"/>
          <w:sz w:val="24"/>
        </w:rPr>
        <w:t>结果见图</w:t>
      </w:r>
      <w:r>
        <w:rPr>
          <w:rFonts w:hint="eastAsia" w:asciiTheme="minorEastAsia" w:hAnsiTheme="minorEastAsia" w:cstheme="minorEastAsia"/>
          <w:spacing w:val="-45"/>
          <w:sz w:val="24"/>
        </w:rPr>
        <w:t xml:space="preserve"> </w:t>
      </w:r>
      <w:r>
        <w:rPr>
          <w:rFonts w:hint="eastAsia" w:asciiTheme="minorEastAsia" w:hAnsiTheme="minorEastAsia" w:cstheme="minorEastAsia"/>
          <w:sz w:val="24"/>
        </w:rPr>
        <w:t>4。</w:t>
      </w:r>
    </w:p>
    <w:p w14:paraId="75D597AF"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603250</wp:posOffset>
            </wp:positionH>
            <wp:positionV relativeFrom="paragraph">
              <wp:posOffset>8890</wp:posOffset>
            </wp:positionV>
            <wp:extent cx="4343400" cy="2241550"/>
            <wp:effectExtent l="0" t="0" r="0" b="6350"/>
            <wp:wrapTopAndBottom/>
            <wp:docPr id="6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</w:p>
    <w:p w14:paraId="0BCA664E">
      <w:pPr>
        <w:pStyle w:val="2"/>
        <w:spacing w:before="172" w:line="360" w:lineRule="auto"/>
        <w:ind w:left="6" w:right="61" w:firstLine="452"/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lang w:eastAsia="zh-CN"/>
        </w:rPr>
        <w:t>由结果可见，填充剂的用量对药物的释放影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eastAsia="zh-CN"/>
        </w:rPr>
        <w:t>响不大，但考虑到药物的片重，</w:t>
      </w:r>
      <w:r>
        <w:rPr>
          <w:rFonts w:hint="eastAsia" w:asciiTheme="minorEastAsia" w:hAnsiTheme="minorEastAsia" w:eastAsiaTheme="minorEastAsia" w:cstheme="minorEastAsia"/>
          <w:spacing w:val="21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eastAsia="zh-CN"/>
        </w:rPr>
        <w:t>选择填充剂与主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药质量比为</w:t>
      </w:r>
      <w:r>
        <w:rPr>
          <w:rFonts w:hint="eastAsia" w:asciiTheme="minorEastAsia" w:hAnsiTheme="minorEastAsia" w:eastAsiaTheme="minorEastAsia" w:cstheme="minorEastAsia"/>
          <w:spacing w:val="-34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2.5∶1。</w:t>
      </w:r>
    </w:p>
    <w:p w14:paraId="60BD71CE">
      <w:pPr>
        <w:spacing w:line="360" w:lineRule="auto"/>
        <w:ind w:firstLine="510" w:firstLineChars="200"/>
        <w:rPr>
          <w:rFonts w:asciiTheme="minorEastAsia" w:hAnsiTheme="minorEastAsia" w:cstheme="minorEastAsia"/>
          <w:spacing w:val="-3"/>
          <w:sz w:val="24"/>
        </w:rPr>
      </w:pPr>
      <w:r>
        <w:rPr>
          <w:rFonts w:hint="eastAsia" w:asciiTheme="minorEastAsia" w:hAnsiTheme="minorEastAsia" w:cstheme="minorEastAsia"/>
          <w:b/>
          <w:bCs/>
          <w:spacing w:val="7"/>
          <w:sz w:val="24"/>
        </w:rPr>
        <w:t xml:space="preserve">2.3.5 </w:t>
      </w:r>
      <w:r>
        <w:rPr>
          <w:rFonts w:hint="eastAsia" w:asciiTheme="minorEastAsia" w:hAnsiTheme="minorEastAsia" w:cstheme="minorEastAsia"/>
          <w:spacing w:val="7"/>
          <w:sz w:val="24"/>
        </w:rPr>
        <w:t>黏合剂种类考察</w:t>
      </w:r>
      <w:r>
        <w:rPr>
          <w:rFonts w:hint="eastAsia" w:asciiTheme="minorEastAsia" w:hAnsiTheme="minorEastAsia" w:cstheme="minorEastAsia"/>
          <w:spacing w:val="32"/>
          <w:sz w:val="24"/>
        </w:rPr>
        <w:t xml:space="preserve">  </w:t>
      </w:r>
      <w:r>
        <w:rPr>
          <w:rFonts w:hint="eastAsia" w:asciiTheme="minorEastAsia" w:hAnsiTheme="minorEastAsia" w:cstheme="minorEastAsia"/>
          <w:spacing w:val="7"/>
          <w:sz w:val="24"/>
        </w:rPr>
        <w:t>选用85%乙醇溶液、</w:t>
      </w:r>
      <w:r>
        <w:rPr>
          <w:rFonts w:hint="eastAsia" w:asciiTheme="minorEastAsia" w:hAnsiTheme="minorEastAsia" w:cstheme="minorEastAsia"/>
          <w:spacing w:val="-7"/>
          <w:sz w:val="24"/>
        </w:rPr>
        <w:t>10%EC乙醇溶液、10%PVP乙醇溶液三种黏合剂，</w:t>
      </w:r>
      <w:r>
        <w:rPr>
          <w:rFonts w:hint="eastAsia" w:asciiTheme="minorEastAsia" w:hAnsiTheme="minorEastAsia" w:cstheme="minorEastAsia"/>
          <w:spacing w:val="-5"/>
          <w:sz w:val="24"/>
        </w:rPr>
        <w:t>制得缓释片，考察黏合剂种类对药物释放的影响，</w:t>
      </w:r>
      <w:r>
        <w:rPr>
          <w:rFonts w:hint="eastAsia" w:asciiTheme="minorEastAsia" w:hAnsiTheme="minorEastAsia" w:cstheme="minorEastAsia"/>
          <w:spacing w:val="-3"/>
          <w:sz w:val="24"/>
        </w:rPr>
        <w:t>结果见图</w:t>
      </w:r>
      <w:r>
        <w:rPr>
          <w:rFonts w:hint="eastAsia" w:asciiTheme="minorEastAsia" w:hAnsiTheme="minorEastAsia" w:cstheme="minorEastAsia"/>
          <w:spacing w:val="-38"/>
          <w:sz w:val="24"/>
        </w:rPr>
        <w:t xml:space="preserve"> </w:t>
      </w:r>
      <w:r>
        <w:rPr>
          <w:rFonts w:hint="eastAsia" w:asciiTheme="minorEastAsia" w:hAnsiTheme="minorEastAsia" w:cstheme="minorEastAsia"/>
          <w:spacing w:val="-3"/>
          <w:sz w:val="24"/>
        </w:rPr>
        <w:t>5。</w:t>
      </w:r>
    </w:p>
    <w:p w14:paraId="419FE87B">
      <w:pPr>
        <w:spacing w:line="360" w:lineRule="auto"/>
        <w:ind w:firstLine="468" w:firstLineChars="200"/>
        <w:rPr>
          <w:rFonts w:asciiTheme="minorEastAsia" w:hAnsiTheme="minorEastAsia" w:cstheme="minorEastAsia"/>
          <w:spacing w:val="-3"/>
          <w:sz w:val="24"/>
        </w:rPr>
      </w:pPr>
    </w:p>
    <w:p w14:paraId="2CDB615B">
      <w:pPr>
        <w:spacing w:line="360" w:lineRule="auto"/>
        <w:ind w:firstLine="480" w:firstLineChars="200"/>
        <w:rPr>
          <w:rFonts w:asciiTheme="minorEastAsia" w:hAnsiTheme="minorEastAsia" w:cstheme="minorEastAsia"/>
          <w:spacing w:val="2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273050</wp:posOffset>
            </wp:positionH>
            <wp:positionV relativeFrom="paragraph">
              <wp:posOffset>15240</wp:posOffset>
            </wp:positionV>
            <wp:extent cx="4826000" cy="2743200"/>
            <wp:effectExtent l="6350" t="6350" r="6350" b="6350"/>
            <wp:wrapTopAndBottom/>
            <wp:docPr id="8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spacing w:val="7"/>
          <w:sz w:val="24"/>
        </w:rPr>
        <w:t>由结果可见，黏合剂种类对药物释放有着一</w:t>
      </w:r>
      <w:r>
        <w:rPr>
          <w:rFonts w:hint="eastAsia" w:asciiTheme="minorEastAsia" w:hAnsiTheme="minorEastAsia" w:cstheme="minorEastAsia"/>
          <w:spacing w:val="-2"/>
          <w:sz w:val="24"/>
        </w:rPr>
        <w:t>定的影响。10%PVP乙醇溶液做黏合剂时</w:t>
      </w:r>
      <w:r>
        <w:rPr>
          <w:rFonts w:hint="eastAsia" w:asciiTheme="minorEastAsia" w:hAnsiTheme="minorEastAsia" w:cstheme="minorEastAsia"/>
          <w:spacing w:val="-3"/>
          <w:sz w:val="24"/>
        </w:rPr>
        <w:t>对药物释</w:t>
      </w:r>
      <w:r>
        <w:rPr>
          <w:rFonts w:hint="eastAsia" w:asciiTheme="minorEastAsia" w:hAnsiTheme="minorEastAsia" w:cstheme="minorEastAsia"/>
          <w:spacing w:val="2"/>
          <w:sz w:val="24"/>
        </w:rPr>
        <w:t>放有一定的阻滞效果。</w:t>
      </w:r>
    </w:p>
    <w:p w14:paraId="3FC33D00">
      <w:pPr>
        <w:pStyle w:val="6"/>
        <w:spacing w:before="72" w:line="360" w:lineRule="auto"/>
        <w:ind w:left="1" w:firstLine="490" w:firstLineChars="200"/>
        <w:rPr>
          <w:rFonts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2"/>
          <w:sz w:val="24"/>
          <w:szCs w:val="24"/>
          <w:lang w:eastAsia="zh-CN"/>
        </w:rPr>
        <w:t>2.4 处方的正交实验优化</w:t>
      </w:r>
    </w:p>
    <w:p w14:paraId="1FC2F1E1">
      <w:pPr>
        <w:spacing w:line="360" w:lineRule="auto"/>
        <w:ind w:firstLine="504" w:firstLineChars="200"/>
        <w:rPr>
          <w:rFonts w:asciiTheme="minorEastAsia" w:hAnsiTheme="minorEastAsia" w:cstheme="minorEastAsia"/>
          <w:spacing w:val="-3"/>
          <w:sz w:val="24"/>
        </w:rPr>
      </w:pPr>
      <w:r>
        <w:rPr>
          <w:rFonts w:hint="eastAsia" w:asciiTheme="minorEastAsia" w:hAnsiTheme="minorEastAsia" w:cstheme="minorEastAsia"/>
          <w:spacing w:val="6"/>
          <w:sz w:val="24"/>
        </w:rPr>
        <w:t>根据单因素实验考查结果，确定了影响辛伐</w:t>
      </w:r>
      <w:r>
        <w:rPr>
          <w:rFonts w:hint="eastAsia" w:asciiTheme="minorEastAsia" w:hAnsiTheme="minorEastAsia" w:cstheme="minorEastAsia"/>
          <w:spacing w:val="-2"/>
          <w:sz w:val="24"/>
        </w:rPr>
        <w:t>他汀缓释片释药行为的主要因素为</w:t>
      </w:r>
      <w:r>
        <w:rPr>
          <w:rFonts w:hint="eastAsia" w:asciiTheme="minorEastAsia" w:hAnsiTheme="minorEastAsia" w:cstheme="minorEastAsia"/>
          <w:spacing w:val="-15"/>
          <w:sz w:val="24"/>
        </w:rPr>
        <w:t xml:space="preserve"> </w:t>
      </w:r>
      <w:r>
        <w:rPr>
          <w:rFonts w:hint="eastAsia" w:asciiTheme="minorEastAsia" w:hAnsiTheme="minorEastAsia" w:cstheme="minorEastAsia"/>
          <w:spacing w:val="-2"/>
          <w:sz w:val="24"/>
        </w:rPr>
        <w:t>HPMC黏度、</w:t>
      </w:r>
      <w:r>
        <w:rPr>
          <w:rFonts w:hint="eastAsia" w:asciiTheme="minorEastAsia" w:hAnsiTheme="minorEastAsia" w:cstheme="minorEastAsia"/>
          <w:spacing w:val="-8"/>
          <w:sz w:val="24"/>
        </w:rPr>
        <w:t>HPMC用量、黏合剂种类</w:t>
      </w:r>
      <w:r>
        <w:rPr>
          <w:rFonts w:hint="eastAsia" w:asciiTheme="minorEastAsia" w:hAnsiTheme="minorEastAsia" w:cstheme="minorEastAsia"/>
          <w:spacing w:val="-40"/>
          <w:sz w:val="24"/>
        </w:rPr>
        <w:t xml:space="preserve"> </w:t>
      </w:r>
      <w:r>
        <w:rPr>
          <w:rFonts w:hint="eastAsia" w:asciiTheme="minorEastAsia" w:hAnsiTheme="minorEastAsia" w:cstheme="minorEastAsia"/>
          <w:spacing w:val="-8"/>
          <w:sz w:val="24"/>
        </w:rPr>
        <w:t>3个因素，各取</w:t>
      </w:r>
      <w:r>
        <w:rPr>
          <w:rFonts w:hint="eastAsia" w:asciiTheme="minorEastAsia" w:hAnsiTheme="minorEastAsia" w:cstheme="minorEastAsia"/>
          <w:spacing w:val="-40"/>
          <w:sz w:val="24"/>
        </w:rPr>
        <w:t xml:space="preserve"> </w:t>
      </w:r>
      <w:r>
        <w:rPr>
          <w:rFonts w:hint="eastAsia" w:asciiTheme="minorEastAsia" w:hAnsiTheme="minorEastAsia" w:cstheme="minorEastAsia"/>
          <w:spacing w:val="-8"/>
          <w:sz w:val="24"/>
        </w:rPr>
        <w:t>3水平，</w:t>
      </w:r>
      <w:r>
        <w:rPr>
          <w:rFonts w:hint="eastAsia" w:asciiTheme="minorEastAsia" w:hAnsiTheme="minorEastAsia" w:cstheme="minorEastAsia"/>
          <w:spacing w:val="-2"/>
          <w:sz w:val="24"/>
        </w:rPr>
        <w:t>根据</w:t>
      </w:r>
      <w:r>
        <w:rPr>
          <w:rFonts w:hint="eastAsia" w:asciiTheme="minorEastAsia" w:hAnsiTheme="minorEastAsia" w:cstheme="minorEastAsia"/>
          <w:spacing w:val="-29"/>
          <w:sz w:val="24"/>
        </w:rPr>
        <w:t xml:space="preserve"> </w:t>
      </w:r>
      <w:r>
        <w:rPr>
          <w:rFonts w:hint="eastAsia" w:asciiTheme="minorEastAsia" w:hAnsiTheme="minorEastAsia" w:cstheme="minorEastAsia"/>
          <w:spacing w:val="-2"/>
          <w:sz w:val="24"/>
        </w:rPr>
        <w:t>L</w:t>
      </w:r>
      <w:r>
        <w:rPr>
          <w:rFonts w:hint="eastAsia" w:asciiTheme="minorEastAsia" w:hAnsiTheme="minorEastAsia" w:cstheme="minorEastAsia"/>
          <w:spacing w:val="-2"/>
          <w:position w:val="-3"/>
          <w:sz w:val="24"/>
        </w:rPr>
        <w:t>9</w:t>
      </w:r>
      <w:r>
        <w:rPr>
          <w:rFonts w:hint="eastAsia" w:asciiTheme="minorEastAsia" w:hAnsiTheme="minorEastAsia" w:cstheme="minorEastAsia"/>
          <w:spacing w:val="-2"/>
          <w:sz w:val="24"/>
        </w:rPr>
        <w:t>(3</w:t>
      </w:r>
      <w:r>
        <w:rPr>
          <w:rFonts w:hint="eastAsia" w:asciiTheme="minorEastAsia" w:hAnsiTheme="minorEastAsia" w:cstheme="minorEastAsia"/>
          <w:spacing w:val="-2"/>
          <w:position w:val="9"/>
          <w:sz w:val="24"/>
        </w:rPr>
        <w:t>4</w:t>
      </w:r>
      <w:r>
        <w:rPr>
          <w:rFonts w:hint="eastAsia" w:asciiTheme="minorEastAsia" w:hAnsiTheme="minorEastAsia" w:cstheme="minorEastAsia"/>
          <w:spacing w:val="-2"/>
          <w:sz w:val="24"/>
        </w:rPr>
        <w:t>)正交表确定处方，按制备方法制成缓释</w:t>
      </w:r>
      <w:r>
        <w:rPr>
          <w:rFonts w:hint="eastAsia" w:asciiTheme="minorEastAsia" w:hAnsiTheme="minorEastAsia" w:cstheme="minorEastAsia"/>
          <w:spacing w:val="5"/>
          <w:sz w:val="24"/>
        </w:rPr>
        <w:t>片，测定不同时间的累积释放度。正交实验具体</w:t>
      </w:r>
      <w:r>
        <w:rPr>
          <w:rFonts w:hint="eastAsia" w:asciiTheme="minorEastAsia" w:hAnsiTheme="minorEastAsia" w:cstheme="minorEastAsia"/>
          <w:spacing w:val="-3"/>
          <w:sz w:val="24"/>
        </w:rPr>
        <w:t>因素与水平见表</w:t>
      </w:r>
      <w:r>
        <w:rPr>
          <w:rFonts w:hint="eastAsia" w:asciiTheme="minorEastAsia" w:hAnsiTheme="minorEastAsia" w:cstheme="minorEastAsia"/>
          <w:spacing w:val="-20"/>
          <w:sz w:val="24"/>
        </w:rPr>
        <w:t xml:space="preserve"> </w:t>
      </w:r>
      <w:r>
        <w:rPr>
          <w:rFonts w:hint="eastAsia" w:asciiTheme="minorEastAsia" w:hAnsiTheme="minorEastAsia" w:cstheme="minorEastAsia"/>
          <w:spacing w:val="-3"/>
          <w:sz w:val="24"/>
        </w:rPr>
        <w:t>1。</w:t>
      </w:r>
    </w:p>
    <w:tbl>
      <w:tblPr>
        <w:tblStyle w:val="4"/>
        <w:tblW w:w="764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62"/>
        <w:gridCol w:w="2885"/>
        <w:gridCol w:w="2118"/>
      </w:tblGrid>
      <w:tr w14:paraId="00CC78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AEA8F"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  <w:lang w:bidi="ar"/>
              </w:rPr>
              <w:t>表1 因素水平表</w:t>
            </w:r>
          </w:p>
        </w:tc>
      </w:tr>
      <w:tr w14:paraId="783806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0" w:type="auto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968DB9E"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bidi="ar"/>
              </w:rPr>
              <w:t>水平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B7D787C"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bidi="ar"/>
              </w:rPr>
              <w:t>因  素</w:t>
            </w:r>
          </w:p>
        </w:tc>
      </w:tr>
      <w:tr w14:paraId="6AC9BE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49887A4">
            <w:pPr>
              <w:spacing w:line="360" w:lineRule="auto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FDDCF73"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bidi="ar"/>
              </w:rPr>
              <w:t>HPMC黏度（A)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3025A4D"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bidi="ar"/>
              </w:rPr>
              <w:t>HPMC与主药质量比（B)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6148D10"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bidi="ar"/>
              </w:rPr>
              <w:t>黏合剂种类（C)</w:t>
            </w:r>
          </w:p>
        </w:tc>
      </w:tr>
      <w:tr w14:paraId="5B4464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6CE48"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7439E"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bidi="ar"/>
              </w:rPr>
              <w:t>K4M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2A501"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bidi="ar"/>
              </w:rPr>
              <w:t>0.75:1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14843"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bidi="ar"/>
              </w:rPr>
              <w:t>85%乙醇溶液</w:t>
            </w:r>
          </w:p>
        </w:tc>
      </w:tr>
      <w:tr w14:paraId="413A7B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B268B"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8E2C7"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bidi="ar"/>
              </w:rPr>
              <w:t>K15M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8BB91"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bidi="ar"/>
              </w:rPr>
              <w:t>1.5:1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86566"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bidi="ar"/>
              </w:rPr>
              <w:t>10%EC乙醇溶液</w:t>
            </w:r>
          </w:p>
        </w:tc>
      </w:tr>
      <w:tr w14:paraId="3BD7C7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FEA8E6A"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bidi="a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800BF3B"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bidi="ar"/>
              </w:rPr>
              <w:t>K100M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1A274B1"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bidi="ar"/>
              </w:rPr>
              <w:t>2.25:1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760F8E5">
            <w:pPr>
              <w:widowControl/>
              <w:spacing w:line="360" w:lineRule="auto"/>
              <w:jc w:val="center"/>
              <w:textAlignment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  <w:lang w:bidi="ar"/>
              </w:rPr>
              <w:t>10%PVP乙醇溶液</w:t>
            </w:r>
          </w:p>
        </w:tc>
      </w:tr>
    </w:tbl>
    <w:p w14:paraId="66E046C5">
      <w:pPr>
        <w:spacing w:line="360" w:lineRule="auto"/>
        <w:ind w:firstLine="468" w:firstLineChars="200"/>
        <w:rPr>
          <w:rFonts w:asciiTheme="minorEastAsia" w:hAnsiTheme="minorEastAsia" w:cstheme="minorEastAsia"/>
          <w:spacing w:val="-3"/>
          <w:sz w:val="24"/>
        </w:rPr>
      </w:pPr>
    </w:p>
    <w:p w14:paraId="0E480B18">
      <w:pPr>
        <w:spacing w:line="360" w:lineRule="auto"/>
        <w:ind w:firstLine="468" w:firstLineChars="200"/>
        <w:rPr>
          <w:rFonts w:asciiTheme="minorEastAsia" w:hAnsiTheme="minorEastAsia" w:cstheme="minorEastAsia"/>
          <w:spacing w:val="-3"/>
          <w:sz w:val="24"/>
        </w:rPr>
      </w:pPr>
    </w:p>
    <w:p w14:paraId="2025B8B9">
      <w:pPr>
        <w:pStyle w:val="6"/>
        <w:spacing w:before="76" w:line="360" w:lineRule="auto"/>
        <w:ind w:left="4" w:right="6" w:firstLine="455"/>
        <w:rPr>
          <w:rFonts w:asciiTheme="minorEastAsia" w:hAnsiTheme="minorEastAsia" w:eastAsiaTheme="minorEastAsia" w:cstheme="minorEastAsia"/>
          <w:spacing w:val="-1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  <w:lang w:eastAsia="zh-CN"/>
        </w:rPr>
        <w:t>分别以</w:t>
      </w:r>
      <w:r>
        <w:rPr>
          <w:rFonts w:hint="eastAsia" w:asciiTheme="minorEastAsia" w:hAnsiTheme="minorEastAsia" w:eastAsiaTheme="minorEastAsia" w:cstheme="minorEastAsia"/>
          <w:spacing w:val="-32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28"/>
          <w:sz w:val="24"/>
          <w:szCs w:val="24"/>
          <w:lang w:eastAsia="zh-CN"/>
        </w:rPr>
        <w:t xml:space="preserve"> 、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  <w:lang w:eastAsia="zh-CN"/>
        </w:rPr>
        <w:t>6</w:t>
      </w:r>
      <w:r>
        <w:rPr>
          <w:rFonts w:hint="eastAsia" w:asciiTheme="minorEastAsia" w:hAnsiTheme="minorEastAsia" w:eastAsiaTheme="minorEastAsia" w:cstheme="minorEastAsia"/>
          <w:spacing w:val="-28"/>
          <w:sz w:val="24"/>
          <w:szCs w:val="24"/>
          <w:lang w:eastAsia="zh-CN"/>
        </w:rPr>
        <w:t xml:space="preserve"> 、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  <w:lang w:eastAsia="zh-CN"/>
        </w:rPr>
        <w:t>10h的累积释放度为指标进行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综合评分，评价公式为：</w:t>
      </w:r>
    </w:p>
    <w:p w14:paraId="34E33DC7">
      <w:pPr>
        <w:pStyle w:val="6"/>
        <w:spacing w:before="76" w:line="360" w:lineRule="auto"/>
        <w:ind w:right="6"/>
        <w:rPr>
          <w:rFonts w:asciiTheme="minorEastAsia" w:hAnsiTheme="minorEastAsia" w:eastAsiaTheme="minorEastAsia" w:cstheme="minorEastAsia"/>
          <w:spacing w:val="-3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L＝︱Q</w:t>
      </w:r>
      <w:r>
        <w:rPr>
          <w:rFonts w:hint="eastAsia" w:asciiTheme="minorEastAsia" w:hAnsiTheme="minorEastAsia" w:eastAsiaTheme="minorEastAsia" w:cstheme="minorEastAsia"/>
          <w:spacing w:val="-1"/>
          <w:position w:val="-3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－30%︱×100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>+︱Q</w:t>
      </w:r>
      <w:r>
        <w:rPr>
          <w:rFonts w:hint="eastAsia" w:asciiTheme="minorEastAsia" w:hAnsiTheme="minorEastAsia" w:eastAsiaTheme="minorEastAsia" w:cstheme="minorEastAsia"/>
          <w:spacing w:val="5"/>
          <w:position w:val="-2"/>
          <w:sz w:val="24"/>
          <w:szCs w:val="24"/>
          <w:vertAlign w:val="subscript"/>
        </w:rPr>
        <w:t>6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>－60%︱×100＋︱Q</w:t>
      </w:r>
      <w:r>
        <w:rPr>
          <w:rFonts w:hint="eastAsia" w:asciiTheme="minorEastAsia" w:hAnsiTheme="minorEastAsia" w:eastAsiaTheme="minorEastAsia" w:cstheme="minorEastAsia"/>
          <w:spacing w:val="5"/>
          <w:position w:val="-2"/>
          <w:sz w:val="24"/>
          <w:szCs w:val="24"/>
          <w:vertAlign w:val="subscript"/>
        </w:rPr>
        <w:t>10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>－85%︱×100。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  <w:lang w:eastAsia="zh-CN"/>
        </w:rPr>
        <w:t>以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lang w:eastAsia="zh-CN"/>
        </w:rPr>
        <w:t>评分最低组合为最优，表明其与所定释放度标准</w:t>
      </w:r>
      <w:r>
        <w:rPr>
          <w:rFonts w:hint="eastAsia" w:asciiTheme="minorEastAsia" w:hAnsiTheme="minorEastAsia" w:eastAsiaTheme="minorEastAsia" w:cstheme="minorEastAsia"/>
          <w:spacing w:val="-5"/>
          <w:sz w:val="24"/>
          <w:szCs w:val="24"/>
          <w:lang w:eastAsia="zh-CN"/>
        </w:rPr>
        <w:t>最接近，正交实验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  <w:lang w:eastAsia="zh-CN"/>
        </w:rPr>
        <w:t>结果可见，各因素的影响程度依次为HPMC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用量﹥HPMC黏度﹥黏合剂种类，各因素最佳组合为</w:t>
      </w:r>
      <w:r>
        <w:rPr>
          <w:rFonts w:hint="eastAsia" w:asciiTheme="minorEastAsia" w:hAnsiTheme="minorEastAsia" w:eastAsiaTheme="minorEastAsia" w:cstheme="minorEastAsia"/>
          <w:spacing w:val="-42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A</w:t>
      </w:r>
      <w:r>
        <w:rPr>
          <w:rFonts w:hint="eastAsia" w:asciiTheme="minorEastAsia" w:hAnsiTheme="minorEastAsia" w:eastAsiaTheme="minorEastAsia" w:cstheme="minorEastAsia"/>
          <w:spacing w:val="-1"/>
          <w:position w:val="-2"/>
          <w:sz w:val="24"/>
          <w:szCs w:val="24"/>
          <w:vertAlign w:val="subscript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B</w:t>
      </w:r>
      <w:r>
        <w:rPr>
          <w:rFonts w:hint="eastAsia" w:asciiTheme="minorEastAsia" w:hAnsiTheme="minorEastAsia" w:eastAsiaTheme="minorEastAsia" w:cstheme="minorEastAsia"/>
          <w:spacing w:val="-1"/>
          <w:position w:val="-2"/>
          <w:sz w:val="24"/>
          <w:szCs w:val="24"/>
          <w:vertAlign w:val="subscript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  <w:spacing w:val="-1"/>
          <w:position w:val="-2"/>
          <w:sz w:val="24"/>
          <w:szCs w:val="24"/>
          <w:vertAlign w:val="subscript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-10"/>
          <w:position w:val="-2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，即处方中</w:t>
      </w:r>
      <w:r>
        <w:rPr>
          <w:rFonts w:hint="eastAsia" w:asciiTheme="minorEastAsia" w:hAnsiTheme="minorEastAsia" w:eastAsiaTheme="minorEastAsia" w:cstheme="minorEastAsia"/>
          <w:spacing w:val="-44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HPMC型号为</w:t>
      </w:r>
      <w:r>
        <w:rPr>
          <w:rFonts w:hint="eastAsia" w:asciiTheme="minorEastAsia" w:hAnsiTheme="minorEastAsia" w:eastAsiaTheme="minorEastAsia" w:cstheme="minorEastAsia"/>
          <w:spacing w:val="-43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K15M，与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eastAsia="zh-CN"/>
        </w:rPr>
        <w:t>主药质量</w:t>
      </w:r>
      <w:r>
        <w:rPr>
          <w:rFonts w:hint="eastAsia" w:asciiTheme="minorEastAsia" w:hAnsiTheme="minorEastAsia" w:eastAsiaTheme="minorEastAsia" w:cstheme="minorEastAsia"/>
          <w:spacing w:val="-40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eastAsia="zh-CN"/>
        </w:rPr>
        <w:t>比</w:t>
      </w:r>
      <w:r>
        <w:rPr>
          <w:rFonts w:hint="eastAsia" w:asciiTheme="minorEastAsia" w:hAnsiTheme="minorEastAsia" w:eastAsiaTheme="minorEastAsia" w:cstheme="minorEastAsia"/>
          <w:spacing w:val="-56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eastAsia="zh-CN"/>
        </w:rPr>
        <w:t>为1.5:1(即30 mg</w:t>
      </w: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  <w:lang w:eastAsia="zh-CN"/>
        </w:rPr>
        <w:t>) ，黏合剂</w:t>
      </w:r>
      <w:r>
        <w:rPr>
          <w:rFonts w:hint="eastAsia" w:asciiTheme="minorEastAsia" w:hAnsiTheme="minorEastAsia" w:eastAsiaTheme="minorEastAsia" w:cstheme="minorEastAsia"/>
          <w:spacing w:val="-56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  <w:lang w:eastAsia="zh-CN"/>
        </w:rPr>
        <w:t>为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eastAsia="zh-CN"/>
        </w:rPr>
        <w:t>10%PVP</w:t>
      </w:r>
      <w:r>
        <w:rPr>
          <w:rFonts w:hint="eastAsia" w:asciiTheme="minorEastAsia" w:hAnsiTheme="minorEastAsia" w:eastAsiaTheme="minorEastAsia" w:cstheme="minorEastAsia"/>
          <w:spacing w:val="29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eastAsia="zh-CN"/>
        </w:rPr>
        <w:t>乙醇溶液。</w:t>
      </w:r>
    </w:p>
    <w:p w14:paraId="14A668BD">
      <w:pPr>
        <w:pStyle w:val="6"/>
        <w:spacing w:before="71" w:line="360" w:lineRule="auto"/>
        <w:ind w:left="1" w:firstLine="490" w:firstLineChars="200"/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2"/>
          <w:sz w:val="24"/>
          <w:szCs w:val="24"/>
          <w:lang w:eastAsia="zh-CN"/>
        </w:rPr>
        <w:t>2.5 处方、制备方法的验证</w:t>
      </w:r>
    </w:p>
    <w:p w14:paraId="3A2DB473">
      <w:pPr>
        <w:pStyle w:val="2"/>
        <w:spacing w:before="69" w:line="360" w:lineRule="auto"/>
        <w:ind w:left="3" w:right="16" w:firstLine="571" w:firstLineChars="207"/>
        <w:rPr>
          <w:rFonts w:asciiTheme="minorEastAsia" w:hAnsiTheme="minorEastAsia" w:eastAsiaTheme="minorEastAsia" w:cstheme="minorEastAsia"/>
          <w:spacing w:val="-2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8"/>
          <w:sz w:val="24"/>
          <w:szCs w:val="24"/>
          <w:lang w:eastAsia="zh-CN"/>
        </w:rPr>
        <w:t>按照优化的处方及制备方法制成缓释片三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  <w:lang w:eastAsia="zh-CN"/>
        </w:rPr>
        <w:t>批，对处方与制备方法进行验证性考查，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  <w:lang w:eastAsia="zh-CN"/>
        </w:rPr>
        <w:t>采用相似因子法</w:t>
      </w:r>
      <w:r>
        <w:rPr>
          <w:rFonts w:hint="eastAsia" w:asciiTheme="minorEastAsia" w:hAnsiTheme="minorEastAsia" w:eastAsiaTheme="minorEastAsia" w:cstheme="minorEastAsia"/>
          <w:spacing w:val="-38"/>
          <w:sz w:val="24"/>
          <w:szCs w:val="24"/>
          <w:lang w:eastAsia="zh-CN"/>
        </w:rPr>
        <w:t xml:space="preserve"> </w:t>
      </w:r>
      <m:oMath>
        <m:sSub>
          <m:sSubPr>
            <m:ctrlPr>
              <w:rPr>
                <w:rFonts w:hint="eastAsia" w:ascii="Cambria Math" w:hAnsi="Cambria Math" w:eastAsiaTheme="minorEastAsia" w:cstheme="minorEastAsia"/>
                <w:i/>
                <w:spacing w:val="-2"/>
                <w:sz w:val="24"/>
                <w:szCs w:val="24"/>
              </w:rPr>
            </m:ctrlPr>
          </m:sSubPr>
          <m:e>
            <m:r>
              <m:rPr/>
              <w:rPr>
                <w:rFonts w:hint="eastAsia" w:ascii="Cambria Math" w:hAnsi="Cambria Math" w:eastAsiaTheme="minorEastAsia" w:cstheme="minorEastAsia"/>
                <w:spacing w:val="-2"/>
                <w:sz w:val="24"/>
                <w:szCs w:val="24"/>
                <w:lang w:eastAsia="zh-CN"/>
              </w:rPr>
              <m:t>f</m:t>
            </m:r>
            <m:ctrlPr>
              <w:rPr>
                <w:rFonts w:hint="eastAsia" w:ascii="Cambria Math" w:hAnsi="Cambria Math" w:eastAsiaTheme="minorEastAsia" w:cstheme="minorEastAsia"/>
                <w:i/>
                <w:spacing w:val="-2"/>
                <w:sz w:val="24"/>
                <w:szCs w:val="24"/>
              </w:rPr>
            </m:ctrlPr>
          </m:e>
          <m:sub>
            <m:r>
              <m:rPr/>
              <w:rPr>
                <w:rFonts w:hint="eastAsia" w:ascii="Cambria Math" w:hAnsi="Cambria Math" w:eastAsiaTheme="minorEastAsia" w:cstheme="minorEastAsia"/>
                <w:spacing w:val="-2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/>
                <w:spacing w:val="-2"/>
                <w:sz w:val="24"/>
                <w:szCs w:val="24"/>
              </w:rPr>
            </m:ctrlPr>
          </m:sub>
        </m:sSub>
      </m:oMath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  <w:lang w:eastAsia="zh-CN"/>
        </w:rPr>
        <w:t>判断不同批次缓释片体外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释放行为的相似程度，下式中</w:t>
      </w:r>
      <m:oMath>
        <m:r>
          <m:rPr/>
          <w:rPr>
            <w:rFonts w:hint="eastAsia" w:ascii="Cambria Math" w:hAnsi="Cambria Math" w:eastAsiaTheme="minorEastAsia" w:cstheme="minorEastAsia"/>
            <w:spacing w:val="-2"/>
            <w:sz w:val="24"/>
            <w:szCs w:val="24"/>
            <w:lang w:eastAsia="zh-CN"/>
          </w:rPr>
          <m:t>n</m:t>
        </m:r>
      </m:oMath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为取样次数，</w:t>
      </w:r>
      <m:oMath>
        <m:sSub>
          <m:sSubPr>
            <m:ctrlPr>
              <w:rPr>
                <w:rFonts w:hint="eastAsia" w:ascii="Cambria Math" w:hAnsi="Cambria Math" w:eastAsiaTheme="minorEastAsia" w:cstheme="minorEastAsia"/>
                <w:i/>
                <w:spacing w:val="-2"/>
                <w:sz w:val="24"/>
                <w:szCs w:val="24"/>
                <w:lang w:eastAsia="zh-CN"/>
              </w:rPr>
            </m:ctrlPr>
          </m:sSubPr>
          <m:e>
            <m:r>
              <m:rPr/>
              <w:rPr>
                <w:rFonts w:hint="eastAsia" w:ascii="Cambria Math" w:hAnsi="Cambria Math" w:eastAsiaTheme="minorEastAsia" w:cstheme="minorEastAsia"/>
                <w:spacing w:val="-2"/>
                <w:sz w:val="24"/>
                <w:szCs w:val="24"/>
                <w:lang w:eastAsia="zh-CN"/>
              </w:rPr>
              <m:t>R</m:t>
            </m:r>
            <m:ctrlPr>
              <w:rPr>
                <w:rFonts w:hint="eastAsia" w:ascii="Cambria Math" w:hAnsi="Cambria Math" w:eastAsiaTheme="minorEastAsia" w:cstheme="minorEastAsia"/>
                <w:i/>
                <w:spacing w:val="-2"/>
                <w:sz w:val="24"/>
                <w:szCs w:val="24"/>
                <w:lang w:eastAsia="zh-CN"/>
              </w:rPr>
            </m:ctrlPr>
          </m:e>
          <m:sub>
            <m:r>
              <m:rPr/>
              <w:rPr>
                <w:rFonts w:hint="eastAsia" w:ascii="Cambria Math" w:hAnsi="Cambria Math" w:eastAsiaTheme="minorEastAsia" w:cstheme="minorEastAsia"/>
                <w:spacing w:val="-2"/>
                <w:sz w:val="24"/>
                <w:szCs w:val="24"/>
                <w:lang w:eastAsia="zh-CN"/>
              </w:rPr>
              <m:t>t</m:t>
            </m:r>
            <m:ctrlPr>
              <w:rPr>
                <w:rFonts w:hint="eastAsia" w:ascii="Cambria Math" w:hAnsi="Cambria Math" w:eastAsiaTheme="minorEastAsia" w:cstheme="minorEastAsia"/>
                <w:i/>
                <w:spacing w:val="-2"/>
                <w:sz w:val="24"/>
                <w:szCs w:val="24"/>
                <w:lang w:eastAsia="zh-CN"/>
              </w:rPr>
            </m:ctrlPr>
          </m:sub>
        </m:sSub>
      </m:oMath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与</w:t>
      </w:r>
      <m:oMath>
        <m:sSub>
          <m:sSubPr>
            <m:ctrlPr>
              <w:rPr>
                <w:rFonts w:hint="eastAsia" w:ascii="Cambria Math" w:hAnsi="Cambria Math" w:eastAsiaTheme="minorEastAsia" w:cstheme="minorEastAsia"/>
                <w:i/>
                <w:spacing w:val="-2"/>
                <w:sz w:val="24"/>
                <w:szCs w:val="24"/>
                <w:lang w:eastAsia="zh-CN"/>
              </w:rPr>
            </m:ctrlPr>
          </m:sSubPr>
          <m:e>
            <m:r>
              <m:rPr/>
              <w:rPr>
                <w:rFonts w:hint="eastAsia" w:ascii="Cambria Math" w:hAnsi="Cambria Math" w:eastAsiaTheme="minorEastAsia" w:cstheme="minorEastAsia"/>
                <w:spacing w:val="-2"/>
                <w:sz w:val="24"/>
                <w:szCs w:val="24"/>
                <w:lang w:eastAsia="zh-CN"/>
              </w:rPr>
              <m:t>T</m:t>
            </m:r>
            <m:ctrlPr>
              <w:rPr>
                <w:rFonts w:hint="eastAsia" w:ascii="Cambria Math" w:hAnsi="Cambria Math" w:eastAsiaTheme="minorEastAsia" w:cstheme="minorEastAsia"/>
                <w:i/>
                <w:spacing w:val="-2"/>
                <w:sz w:val="24"/>
                <w:szCs w:val="24"/>
                <w:lang w:eastAsia="zh-CN"/>
              </w:rPr>
            </m:ctrlPr>
          </m:e>
          <m:sub>
            <m:r>
              <m:rPr/>
              <w:rPr>
                <w:rFonts w:hint="eastAsia" w:ascii="Cambria Math" w:hAnsi="Cambria Math" w:eastAsiaTheme="minorEastAsia" w:cstheme="minorEastAsia"/>
                <w:spacing w:val="-2"/>
                <w:sz w:val="24"/>
                <w:szCs w:val="24"/>
                <w:lang w:eastAsia="zh-CN"/>
              </w:rPr>
              <m:t>t</m:t>
            </m:r>
            <m:ctrlPr>
              <w:rPr>
                <w:rFonts w:hint="eastAsia" w:ascii="Cambria Math" w:hAnsi="Cambria Math" w:eastAsiaTheme="minorEastAsia" w:cstheme="minorEastAsia"/>
                <w:i/>
                <w:spacing w:val="-2"/>
                <w:sz w:val="24"/>
                <w:szCs w:val="24"/>
                <w:lang w:eastAsia="zh-CN"/>
              </w:rPr>
            </m:ctrlPr>
          </m:sub>
        </m:sSub>
      </m:oMath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 xml:space="preserve">分别表示两个不同批次第 </w:t>
      </w:r>
      <m:oMath>
        <m:r>
          <m:rPr/>
          <w:rPr>
            <w:rFonts w:ascii="Cambria Math" w:hAnsi="Cambria Math" w:eastAsiaTheme="minorEastAsia" w:cstheme="minorEastAsia"/>
            <w:spacing w:val="-2"/>
            <w:sz w:val="24"/>
            <w:szCs w:val="24"/>
            <w:lang w:eastAsia="zh-CN"/>
          </w:rPr>
          <m:t>t</m:t>
        </m:r>
      </m:oMath>
      <w:r>
        <w:rPr>
          <w:rFonts w:hint="eastAsia" w:hAnsi="Cambria Math" w:eastAsiaTheme="minorEastAsia" w:cstheme="minorEastAsia"/>
          <w:spacing w:val="-2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时间点的累积释放度。</w:t>
      </w:r>
    </w:p>
    <w:p w14:paraId="407A5DC4">
      <w:pPr>
        <w:pStyle w:val="2"/>
        <w:spacing w:before="179" w:line="360" w:lineRule="auto"/>
        <w:ind w:left="2" w:right="16" w:firstLine="429"/>
        <w:rPr>
          <w:rFonts w:asciiTheme="minorEastAsia" w:hAnsiTheme="minorEastAsia" w:eastAsiaTheme="minorEastAsia" w:cstheme="minorEastAsia"/>
          <w:spacing w:val="-2"/>
          <w:sz w:val="24"/>
          <w:szCs w:val="24"/>
        </w:rPr>
      </w:pPr>
      <m:oMathPara>
        <m:oMath>
          <m:sSub>
            <m:sSubPr>
              <m:ctrlPr>
                <w:rPr>
                  <w:rFonts w:hint="eastAsia" w:ascii="Cambria Math" w:hAnsi="Cambria Math" w:eastAsiaTheme="minorEastAsia" w:cstheme="minorEastAsia"/>
                  <w:i/>
                  <w:spacing w:val="-2"/>
                  <w:sz w:val="24"/>
                  <w:szCs w:val="24"/>
                </w:rPr>
              </m:ctrlPr>
            </m:sSubPr>
            <m:e>
              <m:r>
                <m:rPr/>
                <w:rPr>
                  <w:rFonts w:hint="eastAsia" w:ascii="Cambria Math" w:hAnsi="Cambria Math" w:eastAsiaTheme="minorEastAsia" w:cstheme="minorEastAsia"/>
                  <w:spacing w:val="-2"/>
                  <w:sz w:val="24"/>
                  <w:szCs w:val="24"/>
                  <w:lang w:eastAsia="zh-CN"/>
                </w:rPr>
                <m:t>f</m:t>
              </m:r>
              <m:ctrlPr>
                <w:rPr>
                  <w:rFonts w:hint="eastAsia" w:ascii="Cambria Math" w:hAnsi="Cambria Math" w:eastAsiaTheme="minorEastAsia" w:cstheme="minorEastAsia"/>
                  <w:i/>
                  <w:spacing w:val="-2"/>
                  <w:sz w:val="24"/>
                  <w:szCs w:val="24"/>
                </w:rPr>
              </m:ctrlPr>
            </m:e>
            <m:sub>
              <m:r>
                <m:rPr/>
                <w:rPr>
                  <w:rFonts w:hint="eastAsia" w:ascii="Cambria Math" w:hAnsi="Cambria Math" w:eastAsiaTheme="minorEastAsia" w:cstheme="minorEastAsia"/>
                  <w:spacing w:val="-2"/>
                  <w:sz w:val="24"/>
                  <w:szCs w:val="24"/>
                  <w:lang w:eastAsia="zh-CN"/>
                </w:rPr>
                <m:t>2</m:t>
              </m:r>
              <m:ctrlPr>
                <w:rPr>
                  <w:rFonts w:hint="eastAsia" w:ascii="Cambria Math" w:hAnsi="Cambria Math" w:eastAsiaTheme="minorEastAsia" w:cstheme="minorEastAsia"/>
                  <w:i/>
                  <w:spacing w:val="-2"/>
                  <w:sz w:val="24"/>
                  <w:szCs w:val="24"/>
                </w:rPr>
              </m:ctrlPr>
            </m:sub>
          </m:sSub>
          <m:r>
            <m:rPr/>
            <w:rPr>
              <w:rFonts w:hint="eastAsia" w:ascii="Cambria Math" w:hAnsi="Cambria Math" w:eastAsiaTheme="minorEastAsia" w:cstheme="minorEastAsia"/>
              <w:spacing w:val="-2"/>
              <w:sz w:val="24"/>
              <w:szCs w:val="24"/>
            </w:rPr>
            <m:t>=</m:t>
          </m:r>
          <m:r>
            <m:rPr/>
            <w:rPr>
              <w:rFonts w:hint="eastAsia" w:ascii="Cambria Math" w:hAnsi="Cambria Math" w:eastAsiaTheme="minorEastAsia" w:cstheme="minorEastAsia"/>
              <w:spacing w:val="-2"/>
              <w:sz w:val="24"/>
              <w:szCs w:val="24"/>
              <w:lang w:eastAsia="zh-CN"/>
            </w:rPr>
            <m:t>50</m:t>
          </m:r>
          <m:r>
            <m:rPr/>
            <w:rPr>
              <w:rFonts w:hint="eastAsia" w:ascii="Cambria Math" w:hAnsi="Cambria Math" w:eastAsiaTheme="minorEastAsia" w:cstheme="minorEastAsia"/>
              <w:spacing w:val="-2"/>
              <w:sz w:val="24"/>
              <w:szCs w:val="24"/>
            </w:rPr>
            <m:t>×</m:t>
          </m:r>
          <m:r>
            <m:rPr/>
            <w:rPr>
              <w:rFonts w:hint="eastAsia" w:ascii="Cambria Math" w:hAnsi="Cambria Math" w:eastAsiaTheme="minorEastAsia" w:cstheme="minorEastAsia"/>
              <w:spacing w:val="-2"/>
              <w:sz w:val="24"/>
              <w:szCs w:val="24"/>
              <w:lang w:eastAsia="zh-CN"/>
            </w:rPr>
            <m:t>lg</m:t>
          </m:r>
          <m:d>
            <m:dPr>
              <m:begChr m:val="{"/>
              <m:endChr m:val="}"/>
              <m:ctrlPr>
                <w:rPr>
                  <w:rFonts w:hint="eastAsia" w:ascii="Cambria Math" w:hAnsi="Cambria Math" w:eastAsiaTheme="minorEastAsia" w:cstheme="minorEastAsia"/>
                  <w:i/>
                  <w:spacing w:val="-2"/>
                  <w:sz w:val="24"/>
                  <w:szCs w:val="24"/>
                  <w:lang w:eastAsia="zh-CN"/>
                </w:rPr>
              </m:ctrlPr>
            </m:dPr>
            <m:e>
              <m:sSup>
                <m:sSupPr>
                  <m:ctrlPr>
                    <w:rPr>
                      <w:rFonts w:hint="eastAsia" w:ascii="Cambria Math" w:hAnsi="Cambria Math" w:eastAsiaTheme="minorEastAsia" w:cstheme="minorEastAsia"/>
                      <w:i/>
                      <w:spacing w:val="-2"/>
                      <w:sz w:val="24"/>
                      <w:szCs w:val="24"/>
                      <w:lang w:eastAsia="zh-CN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hint="eastAsia" w:ascii="Cambria Math" w:hAnsi="Cambria Math" w:eastAsiaTheme="minorEastAsia" w:cstheme="minorEastAsia"/>
                          <w:i/>
                          <w:spacing w:val="-2"/>
                          <w:sz w:val="24"/>
                          <w:szCs w:val="24"/>
                          <w:lang w:eastAsia="zh-CN"/>
                        </w:rPr>
                      </m:ctrlPr>
                    </m:dPr>
                    <m:e>
                      <m:r>
                        <m:rPr/>
                        <w:rPr>
                          <w:rFonts w:hint="eastAsia" w:ascii="Cambria Math" w:hAnsi="Cambria Math" w:eastAsiaTheme="minorEastAsia" w:cstheme="minorEastAsia"/>
                          <w:spacing w:val="-2"/>
                          <w:sz w:val="24"/>
                          <w:szCs w:val="24"/>
                          <w:lang w:eastAsia="zh-CN"/>
                        </w:rPr>
                        <m:t>1+</m:t>
                      </m:r>
                      <m:f>
                        <m:fPr>
                          <m:ctrlPr>
                            <w:rPr>
                              <w:rFonts w:hint="eastAsia" w:ascii="Cambria Math" w:hAnsi="Cambria Math" w:eastAsiaTheme="minorEastAsia" w:cstheme="minorEastAsia"/>
                              <w:i/>
                              <w:spacing w:val="-2"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m:rPr/>
                            <w:rPr>
                              <w:rFonts w:hint="eastAsia" w:ascii="Cambria Math" w:hAnsi="Cambria Math" w:eastAsiaTheme="minorEastAsia" w:cstheme="minorEastAsia"/>
                              <w:spacing w:val="-2"/>
                              <w:sz w:val="24"/>
                              <w:szCs w:val="24"/>
                              <w:lang w:eastAsia="zh-CN"/>
                            </w:rPr>
                            <m:t>1</m:t>
                          </m:r>
                          <m:ctrlPr>
                            <w:rPr>
                              <w:rFonts w:hint="eastAsia" w:ascii="Cambria Math" w:hAnsi="Cambria Math" w:eastAsiaTheme="minorEastAsia" w:cstheme="minorEastAsia"/>
                              <w:i/>
                              <w:spacing w:val="-2"/>
                              <w:sz w:val="24"/>
                              <w:szCs w:val="24"/>
                            </w:rPr>
                          </m:ctrlPr>
                        </m:num>
                        <m:den>
                          <m:r>
                            <m:rPr/>
                            <w:rPr>
                              <w:rFonts w:hint="eastAsia" w:ascii="Cambria Math" w:hAnsi="Cambria Math" w:eastAsiaTheme="minorEastAsia" w:cstheme="minorEastAsia"/>
                              <w:spacing w:val="-2"/>
                              <w:sz w:val="24"/>
                              <w:szCs w:val="24"/>
                              <w:lang w:eastAsia="zh-CN"/>
                            </w:rPr>
                            <m:t>n</m:t>
                          </m:r>
                          <m:ctrlPr>
                            <w:rPr>
                              <w:rFonts w:hint="eastAsia" w:ascii="Cambria Math" w:hAnsi="Cambria Math" w:eastAsiaTheme="minorEastAsia" w:cstheme="minorEastAsia"/>
                              <w:i/>
                              <w:spacing w:val="-2"/>
                              <w:sz w:val="24"/>
                              <w:szCs w:val="24"/>
                            </w:rPr>
                          </m:ctrlPr>
                        </m:den>
                      </m:f>
                      <m:sSup>
                        <m:sSupPr>
                          <m:ctrlPr>
                            <w:rPr>
                              <w:rFonts w:hint="eastAsia" w:ascii="Cambria Math" w:hAnsi="Cambria Math" w:eastAsiaTheme="minorEastAsia" w:cstheme="minorEastAsia"/>
                              <w:i/>
                              <w:spacing w:val="-2"/>
                              <w:sz w:val="24"/>
                              <w:szCs w:val="24"/>
                              <w:lang w:eastAsia="zh-CN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hint="eastAsia" w:ascii="Cambria Math" w:hAnsi="Cambria Math" w:eastAsiaTheme="minorEastAsia" w:cstheme="minorEastAsia"/>
                              <w:spacing w:val="-2"/>
                              <w:sz w:val="24"/>
                              <w:szCs w:val="24"/>
                              <w:lang w:eastAsia="zh-CN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hint="eastAsia" w:ascii="Cambria Math" w:hAnsi="Cambria Math" w:eastAsiaTheme="minorEastAsia" w:cstheme="minorEastAsia"/>
                                  <w:i/>
                                  <w:spacing w:val="-2"/>
                                  <w:sz w:val="24"/>
                                  <w:szCs w:val="24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hint="eastAsia" w:ascii="Cambria Math" w:hAnsi="Cambria Math" w:eastAsiaTheme="minorEastAsia" w:cstheme="minorEastAsia"/>
                                  <w:spacing w:val="-2"/>
                                  <w:sz w:val="24"/>
                                  <w:szCs w:val="24"/>
                                  <w:lang w:eastAsia="zh-CN"/>
                                </w:rPr>
                                <m:t>R</m:t>
                              </m:r>
                              <m:ctrlPr>
                                <w:rPr>
                                  <w:rFonts w:hint="eastAsia" w:ascii="Cambria Math" w:hAnsi="Cambria Math" w:eastAsiaTheme="minorEastAsia" w:cstheme="minorEastAsia"/>
                                  <w:i/>
                                  <w:spacing w:val="-2"/>
                                  <w:sz w:val="24"/>
                                  <w:szCs w:val="24"/>
                                  <w:lang w:eastAsia="zh-CN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hint="eastAsia" w:ascii="Cambria Math" w:hAnsi="Cambria Math" w:eastAsiaTheme="minorEastAsia" w:cstheme="minorEastAsia"/>
                                  <w:spacing w:val="-2"/>
                                  <w:sz w:val="24"/>
                                  <w:szCs w:val="24"/>
                                  <w:lang w:eastAsia="zh-CN"/>
                                </w:rPr>
                                <m:t>t</m:t>
                              </m:r>
                              <m:ctrlPr>
                                <w:rPr>
                                  <w:rFonts w:hint="eastAsia" w:ascii="Cambria Math" w:hAnsi="Cambria Math" w:eastAsiaTheme="minorEastAsia" w:cstheme="minorEastAsia"/>
                                  <w:i/>
                                  <w:spacing w:val="-2"/>
                                  <w:sz w:val="24"/>
                                  <w:szCs w:val="24"/>
                                  <w:lang w:eastAsia="zh-CN"/>
                                </w:rPr>
                              </m:ctrlPr>
                            </m:sub>
                          </m:sSub>
                          <m:r>
                            <m:rPr/>
                            <w:rPr>
                              <w:rFonts w:hint="eastAsia" w:ascii="Cambria Math" w:hAnsi="Cambria Math" w:eastAsiaTheme="minorEastAsia" w:cstheme="minorEastAsia"/>
                              <w:spacing w:val="-2"/>
                              <w:sz w:val="24"/>
                              <w:szCs w:val="24"/>
                              <w:lang w:eastAsia="zh-CN"/>
                            </w:rPr>
                            <m:t>−</m:t>
                          </m:r>
                          <m:sSub>
                            <m:sSubPr>
                              <m:ctrlPr>
                                <w:rPr>
                                  <w:rFonts w:hint="eastAsia" w:ascii="Cambria Math" w:hAnsi="Cambria Math" w:eastAsiaTheme="minorEastAsia" w:cstheme="minorEastAsia"/>
                                  <w:i/>
                                  <w:spacing w:val="-2"/>
                                  <w:sz w:val="24"/>
                                  <w:szCs w:val="24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/>
                                <w:rPr>
                                  <w:rFonts w:hint="eastAsia" w:ascii="Cambria Math" w:hAnsi="Cambria Math" w:eastAsiaTheme="minorEastAsia" w:cstheme="minorEastAsia"/>
                                  <w:spacing w:val="-2"/>
                                  <w:sz w:val="24"/>
                                  <w:szCs w:val="24"/>
                                  <w:lang w:eastAsia="zh-CN"/>
                                </w:rPr>
                                <m:t>T</m:t>
                              </m:r>
                              <m:ctrlPr>
                                <w:rPr>
                                  <w:rFonts w:hint="eastAsia" w:ascii="Cambria Math" w:hAnsi="Cambria Math" w:eastAsiaTheme="minorEastAsia" w:cstheme="minorEastAsia"/>
                                  <w:i/>
                                  <w:spacing w:val="-2"/>
                                  <w:sz w:val="24"/>
                                  <w:szCs w:val="24"/>
                                  <w:lang w:eastAsia="zh-CN"/>
                                </w:rPr>
                              </m:ctrlPr>
                            </m:e>
                            <m:sub>
                              <m:r>
                                <m:rPr/>
                                <w:rPr>
                                  <w:rFonts w:hint="eastAsia" w:ascii="Cambria Math" w:hAnsi="Cambria Math" w:eastAsiaTheme="minorEastAsia" w:cstheme="minorEastAsia"/>
                                  <w:spacing w:val="-2"/>
                                  <w:sz w:val="24"/>
                                  <w:szCs w:val="24"/>
                                  <w:lang w:eastAsia="zh-CN"/>
                                </w:rPr>
                                <m:t>t</m:t>
                              </m:r>
                              <m:ctrlPr>
                                <w:rPr>
                                  <w:rFonts w:hint="eastAsia" w:ascii="Cambria Math" w:hAnsi="Cambria Math" w:eastAsiaTheme="minorEastAsia" w:cstheme="minorEastAsia"/>
                                  <w:i/>
                                  <w:spacing w:val="-2"/>
                                  <w:sz w:val="24"/>
                                  <w:szCs w:val="24"/>
                                  <w:lang w:eastAsia="zh-CN"/>
                                </w:rPr>
                              </m:ctrlPr>
                            </m:sub>
                          </m:sSub>
                          <m:r>
                            <m:rPr/>
                            <w:rPr>
                              <w:rFonts w:hint="eastAsia" w:ascii="Cambria Math" w:hAnsi="Cambria Math" w:eastAsiaTheme="minorEastAsia" w:cstheme="minorEastAsia"/>
                              <w:spacing w:val="-2"/>
                              <w:sz w:val="24"/>
                              <w:szCs w:val="24"/>
                              <w:lang w:eastAsia="zh-CN"/>
                            </w:rPr>
                            <m:t>)</m:t>
                          </m:r>
                          <m:ctrlPr>
                            <w:rPr>
                              <w:rFonts w:hint="eastAsia" w:ascii="Cambria Math" w:hAnsi="Cambria Math" w:eastAsiaTheme="minorEastAsia" w:cstheme="minorEastAsia"/>
                              <w:i/>
                              <w:spacing w:val="-2"/>
                              <w:sz w:val="24"/>
                              <w:szCs w:val="24"/>
                              <w:lang w:eastAsia="zh-CN"/>
                            </w:rPr>
                          </m:ctrlPr>
                        </m:e>
                        <m:sup>
                          <m:r>
                            <m:rPr/>
                            <w:rPr>
                              <w:rFonts w:hint="eastAsia" w:ascii="Cambria Math" w:hAnsi="Cambria Math" w:eastAsiaTheme="minorEastAsia" w:cstheme="minorEastAsia"/>
                              <w:spacing w:val="-2"/>
                              <w:sz w:val="24"/>
                              <w:szCs w:val="24"/>
                              <w:lang w:eastAsia="zh-CN"/>
                            </w:rPr>
                            <m:t>2</m:t>
                          </m:r>
                          <m:ctrlPr>
                            <w:rPr>
                              <w:rFonts w:hint="eastAsia" w:ascii="Cambria Math" w:hAnsi="Cambria Math" w:eastAsiaTheme="minorEastAsia" w:cstheme="minorEastAsia"/>
                              <w:i/>
                              <w:spacing w:val="-2"/>
                              <w:sz w:val="24"/>
                              <w:szCs w:val="24"/>
                              <w:lang w:eastAsia="zh-CN"/>
                            </w:rPr>
                          </m:ctrlPr>
                        </m:sup>
                      </m:sSup>
                      <m:ctrlPr>
                        <w:rPr>
                          <w:rFonts w:hint="eastAsia" w:ascii="Cambria Math" w:hAnsi="Cambria Math" w:eastAsiaTheme="minorEastAsia" w:cstheme="minorEastAsia"/>
                          <w:i/>
                          <w:spacing w:val="-2"/>
                          <w:sz w:val="24"/>
                          <w:szCs w:val="24"/>
                          <w:lang w:eastAsia="zh-CN"/>
                        </w:rPr>
                      </m:ctrlPr>
                    </m:e>
                  </m:d>
                  <m:ctrlPr>
                    <w:rPr>
                      <w:rFonts w:hint="eastAsia" w:ascii="Cambria Math" w:hAnsi="Cambria Math" w:eastAsiaTheme="minorEastAsia" w:cstheme="minorEastAsia"/>
                      <w:i/>
                      <w:spacing w:val="-2"/>
                      <w:sz w:val="24"/>
                      <w:szCs w:val="24"/>
                      <w:lang w:eastAsia="zh-CN"/>
                    </w:rPr>
                  </m:ctrlPr>
                </m:e>
                <m:sup>
                  <m:r>
                    <m:rPr/>
                    <w:rPr>
                      <w:rFonts w:hint="eastAsia" w:ascii="Cambria Math" w:hAnsi="Cambria Math" w:eastAsiaTheme="minorEastAsia" w:cstheme="minorEastAsia"/>
                      <w:spacing w:val="-2"/>
                      <w:sz w:val="24"/>
                      <w:szCs w:val="24"/>
                      <w:lang w:eastAsia="zh-CN"/>
                    </w:rPr>
                    <m:t>−0.5</m:t>
                  </m:r>
                  <m:ctrlPr>
                    <w:rPr>
                      <w:rFonts w:hint="eastAsia" w:ascii="Cambria Math" w:hAnsi="Cambria Math" w:eastAsiaTheme="minorEastAsia" w:cstheme="minorEastAsia"/>
                      <w:i/>
                      <w:spacing w:val="-2"/>
                      <w:sz w:val="24"/>
                      <w:szCs w:val="24"/>
                      <w:lang w:eastAsia="zh-CN"/>
                    </w:rPr>
                  </m:ctrlPr>
                </m:sup>
              </m:sSup>
              <m:r>
                <m:rPr/>
                <w:rPr>
                  <w:rFonts w:hint="eastAsia" w:ascii="Cambria Math" w:hAnsi="Cambria Math" w:eastAsiaTheme="minorEastAsia" w:cstheme="minorEastAsia"/>
                  <w:spacing w:val="-2"/>
                  <w:sz w:val="24"/>
                  <w:szCs w:val="24"/>
                  <w:lang w:eastAsia="zh-CN"/>
                </w:rPr>
                <m:t>×100</m:t>
              </m:r>
              <m:ctrlPr>
                <w:rPr>
                  <w:rFonts w:hint="eastAsia" w:ascii="Cambria Math" w:hAnsi="Cambria Math" w:eastAsiaTheme="minorEastAsia" w:cstheme="minorEastAsia"/>
                  <w:i/>
                  <w:spacing w:val="-2"/>
                  <w:sz w:val="24"/>
                  <w:szCs w:val="24"/>
                  <w:lang w:eastAsia="zh-CN"/>
                </w:rPr>
              </m:ctrlPr>
            </m:e>
          </m:d>
        </m:oMath>
      </m:oMathPara>
    </w:p>
    <w:p w14:paraId="083F1707">
      <w:pPr>
        <w:pStyle w:val="2"/>
        <w:spacing w:before="179" w:line="360" w:lineRule="auto"/>
        <w:ind w:left="2" w:right="16" w:firstLine="429"/>
        <w:rPr>
          <w:rFonts w:asciiTheme="minorEastAsia" w:hAnsiTheme="minorEastAsia" w:eastAsiaTheme="minorEastAsia" w:cstheme="minorEastAsia"/>
          <w:spacing w:val="2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  <w:lang w:eastAsia="zh-CN"/>
        </w:rPr>
        <w:t>三个批次间</w:t>
      </w:r>
      <m:oMath>
        <m:sSub>
          <m:sSubPr>
            <m:ctrlPr>
              <w:rPr>
                <w:rFonts w:hint="eastAsia" w:ascii="Cambria Math" w:hAnsi="Cambria Math" w:eastAsiaTheme="minorEastAsia" w:cstheme="minorEastAsia"/>
                <w:i/>
                <w:spacing w:val="-2"/>
                <w:sz w:val="24"/>
                <w:szCs w:val="24"/>
              </w:rPr>
            </m:ctrlPr>
          </m:sSubPr>
          <m:e>
            <m:r>
              <m:rPr/>
              <w:rPr>
                <w:rFonts w:hint="eastAsia" w:ascii="Cambria Math" w:hAnsi="Cambria Math" w:eastAsiaTheme="minorEastAsia" w:cstheme="minorEastAsia"/>
                <w:spacing w:val="-2"/>
                <w:sz w:val="24"/>
                <w:szCs w:val="24"/>
                <w:lang w:eastAsia="zh-CN"/>
              </w:rPr>
              <m:t>f</m:t>
            </m:r>
            <m:ctrlPr>
              <w:rPr>
                <w:rFonts w:hint="eastAsia" w:ascii="Cambria Math" w:hAnsi="Cambria Math" w:eastAsiaTheme="minorEastAsia" w:cstheme="minorEastAsia"/>
                <w:i/>
                <w:spacing w:val="-2"/>
                <w:sz w:val="24"/>
                <w:szCs w:val="24"/>
              </w:rPr>
            </m:ctrlPr>
          </m:e>
          <m:sub>
            <m:r>
              <m:rPr/>
              <w:rPr>
                <w:rFonts w:hint="eastAsia" w:ascii="Cambria Math" w:hAnsi="Cambria Math" w:eastAsiaTheme="minorEastAsia" w:cstheme="minorEastAsia"/>
                <w:spacing w:val="-2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/>
                <w:spacing w:val="-2"/>
                <w:sz w:val="24"/>
                <w:szCs w:val="24"/>
              </w:rPr>
            </m:ctrlPr>
          </m:sub>
        </m:sSub>
      </m:oMath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  <w:lang w:eastAsia="zh-CN"/>
        </w:rPr>
        <w:t>值分别为</w:t>
      </w:r>
      <w:r>
        <w:rPr>
          <w:rFonts w:hint="eastAsia" w:asciiTheme="minorEastAsia" w:hAnsiTheme="minorEastAsia" w:eastAsiaTheme="minorEastAsia" w:cstheme="minorEastAsia"/>
          <w:spacing w:val="-27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  <w:lang w:eastAsia="zh-CN"/>
        </w:rPr>
        <w:t>69.3、59.5</w:t>
      </w:r>
      <w:r>
        <w:rPr>
          <w:rFonts w:hint="eastAsia" w:asciiTheme="minorEastAsia" w:hAnsiTheme="minorEastAsia" w:eastAsiaTheme="minorEastAsia" w:cstheme="minorEastAsia"/>
          <w:spacing w:val="-28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  <w:lang w:eastAsia="zh-CN"/>
        </w:rPr>
        <w:t>、72.5，</w:t>
      </w:r>
      <w:r>
        <w:rPr>
          <w:rFonts w:hint="eastAsia" w:asciiTheme="minorEastAsia" w:hAnsiTheme="minorEastAsia" w:eastAsiaTheme="minorEastAsia" w:cstheme="minorEastAsia"/>
          <w:spacing w:val="1"/>
          <w:sz w:val="24"/>
          <w:szCs w:val="24"/>
          <w:lang w:eastAsia="zh-CN"/>
        </w:rPr>
        <w:t>通常认为，50≤</w:t>
      </w:r>
      <m:oMath>
        <m:sSub>
          <m:sSubPr>
            <m:ctrlPr>
              <w:rPr>
                <w:rFonts w:hint="eastAsia" w:ascii="Cambria Math" w:hAnsi="Cambria Math" w:eastAsiaTheme="minorEastAsia" w:cstheme="minorEastAsia"/>
                <w:i/>
                <w:spacing w:val="-2"/>
                <w:sz w:val="24"/>
                <w:szCs w:val="24"/>
              </w:rPr>
            </m:ctrlPr>
          </m:sSubPr>
          <m:e>
            <m:r>
              <m:rPr/>
              <w:rPr>
                <w:rFonts w:hint="eastAsia" w:ascii="Cambria Math" w:hAnsi="Cambria Math" w:eastAsiaTheme="minorEastAsia" w:cstheme="minorEastAsia"/>
                <w:spacing w:val="-2"/>
                <w:sz w:val="24"/>
                <w:szCs w:val="24"/>
                <w:lang w:eastAsia="zh-CN"/>
              </w:rPr>
              <m:t>f</m:t>
            </m:r>
            <m:ctrlPr>
              <w:rPr>
                <w:rFonts w:hint="eastAsia" w:ascii="Cambria Math" w:hAnsi="Cambria Math" w:eastAsiaTheme="minorEastAsia" w:cstheme="minorEastAsia"/>
                <w:i/>
                <w:spacing w:val="-2"/>
                <w:sz w:val="24"/>
                <w:szCs w:val="24"/>
              </w:rPr>
            </m:ctrlPr>
          </m:e>
          <m:sub>
            <m:r>
              <m:rPr/>
              <w:rPr>
                <w:rFonts w:hint="eastAsia" w:ascii="Cambria Math" w:hAnsi="Cambria Math" w:eastAsiaTheme="minorEastAsia" w:cstheme="minorEastAsia"/>
                <w:spacing w:val="-2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i/>
                <w:spacing w:val="-2"/>
                <w:sz w:val="24"/>
                <w:szCs w:val="24"/>
              </w:rPr>
            </m:ctrlPr>
          </m:sub>
        </m:sSub>
      </m:oMath>
      <w:r>
        <w:rPr>
          <w:rFonts w:hint="eastAsia" w:asciiTheme="minorEastAsia" w:hAnsiTheme="minorEastAsia" w:eastAsiaTheme="minorEastAsia" w:cstheme="minorEastAsia"/>
          <w:spacing w:val="1"/>
          <w:sz w:val="24"/>
          <w:szCs w:val="24"/>
          <w:lang w:eastAsia="zh-CN"/>
        </w:rPr>
        <w:t>≤100则表示两条释放曲线是相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lang w:eastAsia="zh-CN"/>
        </w:rPr>
        <w:t>似的,实验结果表明该处方与制备方法重现性良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  <w:lang w:eastAsia="zh-CN"/>
        </w:rPr>
        <w:t>好，处方与制备方法可行。</w:t>
      </w:r>
    </w:p>
    <w:p w14:paraId="3423F19F">
      <w:pPr>
        <w:spacing w:line="360" w:lineRule="auto"/>
        <w:ind w:firstLine="490" w:firstLineChars="200"/>
        <w:rPr>
          <w:rFonts w:asciiTheme="minorEastAsia" w:hAnsiTheme="minorEastAsia" w:cstheme="minorEastAsia"/>
          <w:b/>
          <w:bCs/>
          <w:spacing w:val="2"/>
          <w:sz w:val="24"/>
        </w:rPr>
      </w:pPr>
      <w:r>
        <w:rPr>
          <w:rFonts w:hint="eastAsia" w:asciiTheme="minorEastAsia" w:hAnsiTheme="minorEastAsia" w:cstheme="minorEastAsia"/>
          <w:b/>
          <w:bCs/>
          <w:spacing w:val="2"/>
          <w:sz w:val="24"/>
        </w:rPr>
        <w:t>2.6制片压力对药物释放度影响</w:t>
      </w:r>
    </w:p>
    <w:p w14:paraId="133D2586">
      <w:pPr>
        <w:pStyle w:val="2"/>
        <w:spacing w:before="179" w:line="360" w:lineRule="auto"/>
        <w:ind w:left="2" w:right="16" w:firstLine="429"/>
        <w:rPr>
          <w:rFonts w:asciiTheme="minorEastAsia" w:hAnsiTheme="minorEastAsia" w:eastAsiaTheme="minorEastAsia" w:cstheme="minorEastAsia"/>
          <w:spacing w:val="2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18"/>
          <w:sz w:val="24"/>
          <w:szCs w:val="24"/>
          <w:lang w:eastAsia="zh-CN"/>
        </w:rPr>
        <w:t>按照优化的处方及制备方法制成缓释片三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  <w:lang w:eastAsia="zh-CN"/>
        </w:rPr>
        <w:t>批，采用不同压力压制缓释片，使片剂的硬度分别为4～5kg/cm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  <w:vertAlign w:val="superscript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  <w:lang w:eastAsia="zh-CN"/>
        </w:rPr>
        <w:t>、6～7kg/cm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  <w:vertAlign w:val="superscript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  <w:lang w:eastAsia="zh-CN"/>
        </w:rPr>
        <w:t>、8～9kg/cm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  <w:vertAlign w:val="superscript"/>
          <w:lang w:eastAsia="zh-CN"/>
        </w:rPr>
        <w:t>2,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  <w:lang w:eastAsia="zh-CN"/>
        </w:rPr>
        <w:t>，测定释放度。制片压力对药物释放度的影响见图6。</w:t>
      </w:r>
    </w:p>
    <w:p w14:paraId="3981B7E5">
      <w:pPr>
        <w:pStyle w:val="2"/>
        <w:spacing w:before="179" w:line="360" w:lineRule="auto"/>
        <w:ind w:left="2" w:right="16" w:firstLine="429"/>
        <w:rPr>
          <w:rFonts w:asciiTheme="minorEastAsia" w:hAnsiTheme="minorEastAsia" w:eastAsiaTheme="minorEastAsia" w:cstheme="minorEastAsia"/>
          <w:spacing w:val="2"/>
          <w:sz w:val="24"/>
          <w:szCs w:val="24"/>
          <w:lang w:eastAsia="zh-CN"/>
        </w:rPr>
      </w:pPr>
    </w:p>
    <w:p w14:paraId="53839761">
      <w:pPr>
        <w:pStyle w:val="2"/>
        <w:spacing w:before="179" w:line="360" w:lineRule="auto"/>
        <w:ind w:left="2" w:right="16" w:firstLine="429"/>
        <w:rPr>
          <w:rFonts w:asciiTheme="minorEastAsia" w:hAnsiTheme="minorEastAsia" w:eastAsiaTheme="minorEastAsia" w:cstheme="minorEastAsia"/>
          <w:spacing w:val="2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drawing>
          <wp:inline distT="0" distB="0" distL="114300" distR="114300">
            <wp:extent cx="4826000" cy="2743200"/>
            <wp:effectExtent l="4445" t="4445" r="8255" b="8255"/>
            <wp:docPr id="5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BCCAD4C">
      <w:pPr>
        <w:spacing w:line="360" w:lineRule="auto"/>
        <w:ind w:firstLine="508" w:firstLineChars="200"/>
        <w:rPr>
          <w:rFonts w:asciiTheme="minorEastAsia" w:hAnsiTheme="minorEastAsia" w:cstheme="minorEastAsia"/>
          <w:spacing w:val="2"/>
          <w:sz w:val="24"/>
        </w:rPr>
      </w:pPr>
      <w:r>
        <w:rPr>
          <w:rFonts w:hint="eastAsia" w:asciiTheme="minorEastAsia" w:hAnsiTheme="minorEastAsia" w:cstheme="minorEastAsia"/>
          <w:spacing w:val="7"/>
          <w:sz w:val="24"/>
        </w:rPr>
        <w:t>由结果可见，不同压力制成的缓释片药物释放度无明显差异（</w:t>
      </w:r>
      <m:oMath>
        <m:sSub>
          <m:sSubPr>
            <m:ctrlPr>
              <w:rPr>
                <w:rFonts w:hint="eastAsia" w:ascii="Cambria Math" w:hAnsi="Cambria Math" w:cstheme="minorEastAsia"/>
                <w:i/>
                <w:spacing w:val="-2"/>
                <w:sz w:val="24"/>
              </w:rPr>
            </m:ctrlPr>
          </m:sSubPr>
          <m:e>
            <m:r>
              <m:rPr/>
              <w:rPr>
                <w:rFonts w:hint="eastAsia" w:ascii="Cambria Math" w:hAnsi="Cambria Math" w:cstheme="minorEastAsia"/>
                <w:spacing w:val="-2"/>
                <w:sz w:val="24"/>
              </w:rPr>
              <m:t>f</m:t>
            </m:r>
            <m:ctrlPr>
              <w:rPr>
                <w:rFonts w:hint="eastAsia" w:ascii="Cambria Math" w:hAnsi="Cambria Math" w:cstheme="minorEastAsia"/>
                <w:i/>
                <w:spacing w:val="-2"/>
                <w:sz w:val="24"/>
              </w:rPr>
            </m:ctrlPr>
          </m:e>
          <m:sub>
            <m:r>
              <m:rPr/>
              <w:rPr>
                <w:rFonts w:hint="eastAsia" w:ascii="Cambria Math" w:hAnsi="Cambria Math" w:cstheme="minorEastAsia"/>
                <w:spacing w:val="-2"/>
                <w:sz w:val="24"/>
              </w:rPr>
              <m:t>2</m:t>
            </m:r>
            <m:ctrlPr>
              <w:rPr>
                <w:rFonts w:hint="eastAsia" w:ascii="Cambria Math" w:hAnsi="Cambria Math" w:cstheme="minorEastAsia"/>
                <w:i/>
                <w:spacing w:val="-2"/>
                <w:sz w:val="24"/>
              </w:rPr>
            </m:ctrlPr>
          </m:sub>
        </m:sSub>
      </m:oMath>
      <w:r>
        <w:rPr>
          <w:rFonts w:hint="eastAsia" w:asciiTheme="minorEastAsia" w:hAnsiTheme="minorEastAsia" w:cstheme="minorEastAsia"/>
          <w:spacing w:val="-2"/>
          <w:sz w:val="24"/>
        </w:rPr>
        <w:t>＞50</w:t>
      </w:r>
      <w:r>
        <w:rPr>
          <w:rFonts w:hint="eastAsia" w:asciiTheme="minorEastAsia" w:hAnsiTheme="minorEastAsia" w:cstheme="minorEastAsia"/>
          <w:spacing w:val="7"/>
          <w:sz w:val="24"/>
        </w:rPr>
        <w:t>）</w:t>
      </w:r>
      <w:r>
        <w:rPr>
          <w:rFonts w:hint="eastAsia" w:asciiTheme="minorEastAsia" w:hAnsiTheme="minorEastAsia" w:cstheme="minorEastAsia"/>
          <w:spacing w:val="2"/>
          <w:sz w:val="24"/>
        </w:rPr>
        <w:t>。</w:t>
      </w:r>
    </w:p>
    <w:p w14:paraId="59C794A9">
      <w:pPr>
        <w:pStyle w:val="2"/>
        <w:spacing w:before="72" w:line="360" w:lineRule="auto"/>
        <w:ind w:left="1" w:firstLine="490" w:firstLineChars="200"/>
        <w:rPr>
          <w:rFonts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2"/>
          <w:sz w:val="24"/>
          <w:szCs w:val="24"/>
          <w:lang w:eastAsia="zh-CN"/>
        </w:rPr>
        <w:t>2.7缓释片与普通片体外释放对比</w:t>
      </w:r>
    </w:p>
    <w:p w14:paraId="02E97359">
      <w:pPr>
        <w:pStyle w:val="2"/>
        <w:spacing w:before="188" w:line="360" w:lineRule="auto"/>
        <w:ind w:firstLine="512" w:firstLineChars="200"/>
        <w:rPr>
          <w:rFonts w:asciiTheme="minorEastAsia" w:hAnsiTheme="minorEastAsia" w:eastAsiaTheme="minorEastAsia" w:cstheme="minorEastAsia"/>
          <w:spacing w:val="-38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lang w:eastAsia="zh-CN"/>
        </w:rPr>
        <w:t>取自制辛伐他汀缓释片和市售辛伐他汀普通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  <w:lang w:eastAsia="zh-CN"/>
        </w:rPr>
        <w:t>片，采用 2.2.4项下测定方法，普通片在</w:t>
      </w:r>
      <w:r>
        <w:rPr>
          <w:rFonts w:hint="eastAsia" w:asciiTheme="minorEastAsia" w:hAnsiTheme="minorEastAsia" w:eastAsiaTheme="minorEastAsia" w:cstheme="minorEastAsia"/>
          <w:spacing w:val="-23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  <w:lang w:eastAsia="zh-CN"/>
        </w:rPr>
        <w:t>5</w:t>
      </w:r>
      <w:r>
        <w:rPr>
          <w:rFonts w:hint="eastAsia" w:asciiTheme="minorEastAsia" w:hAnsiTheme="minorEastAsia" w:eastAsiaTheme="minorEastAsia" w:cstheme="minorEastAsia"/>
          <w:spacing w:val="-28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  <w:lang w:eastAsia="zh-CN"/>
        </w:rPr>
        <w:t>、10</w:t>
      </w:r>
      <w:r>
        <w:rPr>
          <w:rFonts w:hint="eastAsia" w:asciiTheme="minorEastAsia" w:hAnsiTheme="minorEastAsia" w:eastAsiaTheme="minorEastAsia" w:cstheme="minorEastAsia"/>
          <w:spacing w:val="-28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pacing w:val="-5"/>
          <w:sz w:val="24"/>
          <w:szCs w:val="24"/>
          <w:lang w:eastAsia="zh-CN"/>
        </w:rPr>
        <w:t>15</w:t>
      </w:r>
      <w:r>
        <w:rPr>
          <w:rFonts w:hint="eastAsia" w:asciiTheme="minorEastAsia" w:hAnsiTheme="minorEastAsia" w:eastAsiaTheme="minorEastAsia" w:cstheme="minorEastAsia"/>
          <w:spacing w:val="-20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5"/>
          <w:sz w:val="24"/>
          <w:szCs w:val="24"/>
          <w:lang w:eastAsia="zh-CN"/>
        </w:rPr>
        <w:t>、20</w:t>
      </w:r>
      <w:r>
        <w:rPr>
          <w:rFonts w:hint="eastAsia" w:asciiTheme="minorEastAsia" w:hAnsiTheme="minorEastAsia" w:eastAsiaTheme="minorEastAsia" w:cstheme="minorEastAsia"/>
          <w:spacing w:val="-27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5"/>
          <w:sz w:val="24"/>
          <w:szCs w:val="24"/>
          <w:lang w:eastAsia="zh-CN"/>
        </w:rPr>
        <w:t>、30</w:t>
      </w:r>
      <w:r>
        <w:rPr>
          <w:rFonts w:hint="eastAsia" w:asciiTheme="minorEastAsia" w:hAnsiTheme="minorEastAsia" w:eastAsiaTheme="minorEastAsia" w:cstheme="minorEastAsia"/>
          <w:spacing w:val="-28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5"/>
          <w:sz w:val="24"/>
          <w:szCs w:val="24"/>
          <w:lang w:eastAsia="zh-CN"/>
        </w:rPr>
        <w:t>、45</w:t>
      </w:r>
      <w:r>
        <w:rPr>
          <w:rFonts w:hint="eastAsia" w:asciiTheme="minorEastAsia" w:hAnsiTheme="minorEastAsia" w:eastAsiaTheme="minorEastAsia" w:cstheme="minorEastAsia"/>
          <w:spacing w:val="-28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5"/>
          <w:sz w:val="24"/>
          <w:szCs w:val="24"/>
          <w:lang w:eastAsia="zh-CN"/>
        </w:rPr>
        <w:t>、60 min取样，求算药物的累积</w:t>
      </w:r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  <w:lang w:eastAsia="zh-CN"/>
        </w:rPr>
        <w:t>释放度，对其释放情况进行对比。自制辛伐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  <w:lang w:eastAsia="zh-CN"/>
        </w:rPr>
        <w:t>他汀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lang w:eastAsia="zh-CN"/>
        </w:rPr>
        <w:t>缓释片和市售辛伐他汀普通片的药物体外释放结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  <w:lang w:eastAsia="zh-CN"/>
        </w:rPr>
        <w:t>果见图7</w:t>
      </w:r>
      <w:r>
        <w:rPr>
          <w:rFonts w:hint="eastAsia" w:asciiTheme="minorEastAsia" w:hAnsiTheme="minorEastAsia" w:eastAsiaTheme="minorEastAsia" w:cstheme="minorEastAsia"/>
          <w:spacing w:val="-38"/>
          <w:sz w:val="24"/>
          <w:szCs w:val="24"/>
          <w:lang w:eastAsia="zh-CN"/>
        </w:rPr>
        <w:t xml:space="preserve"> 。</w:t>
      </w:r>
    </w:p>
    <w:p w14:paraId="3C1D45AF">
      <w:pPr>
        <w:pStyle w:val="2"/>
        <w:spacing w:before="188" w:line="360" w:lineRule="auto"/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231140</wp:posOffset>
            </wp:positionV>
            <wp:extent cx="4826000" cy="2743200"/>
            <wp:effectExtent l="0" t="0" r="0" b="0"/>
            <wp:wrapTopAndBottom/>
            <wp:docPr id="10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  <w:lang w:eastAsia="zh-CN"/>
        </w:rPr>
        <w:t>由结果可见，市售辛伐他汀普通片在 30 min</w:t>
      </w:r>
      <w:r>
        <w:rPr>
          <w:rFonts w:hint="eastAsia" w:asciiTheme="minorEastAsia" w:hAnsiTheme="minorEastAsia" w:eastAsiaTheme="minorEastAsia" w:cstheme="minorEastAsia"/>
          <w:spacing w:val="1"/>
          <w:sz w:val="24"/>
          <w:szCs w:val="24"/>
          <w:lang w:eastAsia="zh-CN"/>
        </w:rPr>
        <w:t>平均累积释放度即达到</w:t>
      </w:r>
      <w:r>
        <w:rPr>
          <w:rFonts w:hint="eastAsia" w:asciiTheme="minorEastAsia" w:hAnsiTheme="minorEastAsia" w:eastAsiaTheme="minorEastAsia" w:cstheme="minorEastAsia"/>
          <w:spacing w:val="-32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1"/>
          <w:sz w:val="24"/>
          <w:szCs w:val="24"/>
          <w:lang w:eastAsia="zh-CN"/>
        </w:rPr>
        <w:t>85%以上，1h基本释放完全，而所制得缓释片在10h其释放度才达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到</w:t>
      </w:r>
      <w:r>
        <w:rPr>
          <w:rFonts w:hint="eastAsia" w:asciiTheme="minorEastAsia" w:hAnsiTheme="minorEastAsia" w:eastAsiaTheme="minorEastAsia" w:cstheme="minorEastAsia"/>
          <w:spacing w:val="-35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80% 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以上，12 h达到</w:t>
      </w:r>
      <w:r>
        <w:rPr>
          <w:rFonts w:hint="eastAsia" w:asciiTheme="minorEastAsia" w:hAnsiTheme="minorEastAsia" w:eastAsiaTheme="minorEastAsia" w:cstheme="minorEastAsia"/>
          <w:spacing w:val="-33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96.5%。表明所制得辛伐他汀亲水</w:t>
      </w:r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  <w:lang w:eastAsia="zh-CN"/>
        </w:rPr>
        <w:t>凝胶骨架缓释片具有较好的缓释效果。</w:t>
      </w:r>
    </w:p>
    <w:p w14:paraId="5BE54B0D">
      <w:pPr>
        <w:pStyle w:val="2"/>
        <w:spacing w:before="72" w:line="360" w:lineRule="auto"/>
        <w:ind w:firstLine="470" w:firstLineChars="200"/>
        <w:rPr>
          <w:rFonts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3"/>
          <w:sz w:val="24"/>
          <w:szCs w:val="24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spacing w:val="5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pacing w:val="-3"/>
          <w:sz w:val="24"/>
          <w:szCs w:val="24"/>
          <w:lang w:eastAsia="zh-CN"/>
        </w:rPr>
        <w:t>讨论</w:t>
      </w:r>
    </w:p>
    <w:p w14:paraId="7278A296">
      <w:pPr>
        <w:pStyle w:val="2"/>
        <w:spacing w:before="72" w:line="360" w:lineRule="auto"/>
        <w:ind w:firstLine="490" w:firstLineChars="200"/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2"/>
          <w:sz w:val="24"/>
          <w:szCs w:val="24"/>
          <w:lang w:eastAsia="zh-CN"/>
        </w:rPr>
        <w:t>3.1释放介质的选择</w:t>
      </w:r>
    </w:p>
    <w:p w14:paraId="3CB8011A">
      <w:pPr>
        <w:pStyle w:val="2"/>
        <w:spacing w:before="77" w:line="360" w:lineRule="auto"/>
        <w:ind w:right="288" w:firstLine="500" w:firstLineChars="200"/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  <w:lang w:eastAsia="zh-CN"/>
        </w:rPr>
        <w:t>释放介质选择的一个重要标准是漏槽条件，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  <w:lang w:eastAsia="zh-CN"/>
        </w:rPr>
        <w:t>即药物在释放介质中的浓度远小于其饱和浓度</w:t>
      </w:r>
      <w:r>
        <w:rPr>
          <w:rFonts w:hint="eastAsia" w:asciiTheme="minorEastAsia" w:hAnsiTheme="minorEastAsia" w:eastAsiaTheme="minorEastAsia" w:cstheme="minorEastAsia"/>
          <w:spacing w:val="1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lang w:eastAsia="zh-CN"/>
        </w:rPr>
        <w:t>辛伐他汀脂溶性,为真实的模拟胃肠道环境，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lang w:val="en-US" w:eastAsia="zh-CN"/>
        </w:rPr>
        <w:t>我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  <w:lang w:eastAsia="zh-CN"/>
        </w:rPr>
        <w:t>选择</w:t>
      </w:r>
      <w:r>
        <w:rPr>
          <w:rFonts w:hint="eastAsia" w:asciiTheme="minorEastAsia" w:hAnsiTheme="minorEastAsia" w:eastAsiaTheme="minorEastAsia" w:cstheme="minorEastAsia"/>
          <w:spacing w:val="-48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pH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  <w:lang w:eastAsia="zh-CN"/>
        </w:rPr>
        <w:t>7.0磷酸盐缓冲溶液(内含</w:t>
      </w:r>
      <w:r>
        <w:rPr>
          <w:rFonts w:hint="eastAsia" w:asciiTheme="minorEastAsia" w:hAnsiTheme="minorEastAsia" w:eastAsiaTheme="minorEastAsia" w:cstheme="minorEastAsia"/>
          <w:spacing w:val="-40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  <w:lang w:eastAsia="zh-CN"/>
        </w:rPr>
        <w:t>0.5%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SDS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  <w:lang w:eastAsia="zh-CN"/>
        </w:rPr>
        <w:t>)为辛伐他汀缓释片体外释放度测定的释放介质。</w:t>
      </w:r>
    </w:p>
    <w:p w14:paraId="620E068D">
      <w:pPr>
        <w:pStyle w:val="2"/>
        <w:spacing w:before="72" w:line="360" w:lineRule="auto"/>
        <w:ind w:firstLine="482" w:firstLineChars="200"/>
        <w:rPr>
          <w:rFonts w:asciiTheme="minorEastAsia" w:hAnsiTheme="minorEastAsia" w:eastAsiaTheme="minorEastAsia" w:cstheme="minorEastAsia"/>
          <w:spacing w:val="2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3.2</w:t>
      </w:r>
      <w:r>
        <w:rPr>
          <w:rFonts w:hint="eastAsia" w:asciiTheme="minorEastAsia" w:hAnsiTheme="minorEastAsia" w:eastAsiaTheme="minorEastAsia" w:cstheme="minorEastAsia"/>
          <w:b/>
          <w:bCs/>
          <w:spacing w:val="2"/>
          <w:sz w:val="24"/>
          <w:szCs w:val="24"/>
          <w:lang w:eastAsia="zh-CN"/>
        </w:rPr>
        <w:t>体外释放效果</w:t>
      </w:r>
    </w:p>
    <w:p w14:paraId="39AC97DB">
      <w:pPr>
        <w:pStyle w:val="2"/>
        <w:spacing w:before="72" w:line="360" w:lineRule="auto"/>
        <w:ind w:firstLine="488" w:firstLineChars="200"/>
        <w:rPr>
          <w:rFonts w:asciiTheme="minorEastAsia" w:hAnsiTheme="minorEastAsia" w:eastAsiaTheme="minorEastAsia" w:cstheme="minorEastAsia"/>
          <w:spacing w:val="-38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  <w:lang w:val="en-US" w:eastAsia="zh-CN"/>
        </w:rPr>
        <w:t>我们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  <w:lang w:eastAsia="zh-CN"/>
        </w:rPr>
        <w:t>所确定的辛伐他汀缓释片体外释放度测定方法简便可行，为处方优化提供了较好的评价方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eastAsia="zh-CN"/>
        </w:rPr>
        <w:t>法。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lang w:eastAsia="zh-CN"/>
        </w:rPr>
        <w:t>自制辛伐他汀缓释片批次间释放差异小，工艺重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  <w:lang w:eastAsia="zh-CN"/>
        </w:rPr>
        <w:t>现性良好，达到了预期的缓释效果，能持续释药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12h，释放情况优于普通片。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lang w:eastAsia="zh-CN"/>
        </w:rPr>
        <w:t>所确定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  <w:lang w:eastAsia="zh-CN"/>
        </w:rPr>
        <w:t>辛伐他汀缓释片处方较为合理，制备方法简便可行，能为辛伐他汀的临床应用提供更多的选择。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2Y2Q3MGE3ZWZkNjVkMmVjNTNjODE3ZDA1MjcxNDQifQ=="/>
  </w:docVars>
  <w:rsids>
    <w:rsidRoot w:val="002A44D8"/>
    <w:rsid w:val="002A44D8"/>
    <w:rsid w:val="00357A04"/>
    <w:rsid w:val="00400D66"/>
    <w:rsid w:val="006078E2"/>
    <w:rsid w:val="00943B54"/>
    <w:rsid w:val="00D04CDE"/>
    <w:rsid w:val="01275E8C"/>
    <w:rsid w:val="01423B5E"/>
    <w:rsid w:val="03063A71"/>
    <w:rsid w:val="08282FBE"/>
    <w:rsid w:val="08A15A74"/>
    <w:rsid w:val="097E3F67"/>
    <w:rsid w:val="0FF566CA"/>
    <w:rsid w:val="13DB5B12"/>
    <w:rsid w:val="147B53F9"/>
    <w:rsid w:val="14FE7695"/>
    <w:rsid w:val="1CF163A7"/>
    <w:rsid w:val="1FC63B1B"/>
    <w:rsid w:val="23A04792"/>
    <w:rsid w:val="240824F3"/>
    <w:rsid w:val="2538049B"/>
    <w:rsid w:val="290F3F1F"/>
    <w:rsid w:val="29D13F82"/>
    <w:rsid w:val="2C8E1FAA"/>
    <w:rsid w:val="2D9D5B09"/>
    <w:rsid w:val="2F603644"/>
    <w:rsid w:val="31FB4BE5"/>
    <w:rsid w:val="32653D4A"/>
    <w:rsid w:val="330E5857"/>
    <w:rsid w:val="37465815"/>
    <w:rsid w:val="38C602A0"/>
    <w:rsid w:val="39557147"/>
    <w:rsid w:val="39A1771E"/>
    <w:rsid w:val="3AD63D24"/>
    <w:rsid w:val="42210A61"/>
    <w:rsid w:val="422D0338"/>
    <w:rsid w:val="42443EA9"/>
    <w:rsid w:val="473722ED"/>
    <w:rsid w:val="49044150"/>
    <w:rsid w:val="4A5B3DB4"/>
    <w:rsid w:val="4BCE0A7D"/>
    <w:rsid w:val="4CBA55E1"/>
    <w:rsid w:val="51266569"/>
    <w:rsid w:val="52B843A7"/>
    <w:rsid w:val="5364487E"/>
    <w:rsid w:val="55190296"/>
    <w:rsid w:val="558A4404"/>
    <w:rsid w:val="583A4F2C"/>
    <w:rsid w:val="5BD3328F"/>
    <w:rsid w:val="5C090A3C"/>
    <w:rsid w:val="5FA01EEF"/>
    <w:rsid w:val="647E4697"/>
    <w:rsid w:val="6B347B7F"/>
    <w:rsid w:val="6BCE0773"/>
    <w:rsid w:val="6DA34394"/>
    <w:rsid w:val="6E273436"/>
    <w:rsid w:val="6F11762D"/>
    <w:rsid w:val="736C217D"/>
    <w:rsid w:val="745251BD"/>
    <w:rsid w:val="74DD2C49"/>
    <w:rsid w:val="78513B6F"/>
    <w:rsid w:val="795949C3"/>
    <w:rsid w:val="7CF15E60"/>
    <w:rsid w:val="7E777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18"/>
      <w:szCs w:val="18"/>
      <w:lang w:eastAsia="en-US"/>
    </w:rPr>
  </w:style>
  <w:style w:type="paragraph" w:styleId="3">
    <w:name w:val="Balloon Text"/>
    <w:basedOn w:val="1"/>
    <w:link w:val="8"/>
    <w:qFormat/>
    <w:uiPriority w:val="0"/>
    <w:rPr>
      <w:sz w:val="18"/>
      <w:szCs w:val="18"/>
    </w:rPr>
  </w:style>
  <w:style w:type="paragraph" w:customStyle="1" w:styleId="6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15"/>
      <w:szCs w:val="15"/>
      <w:lang w:eastAsia="en-US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批注框文本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hart" Target="charts/chart6.xml"/><Relationship Id="rId8" Type="http://schemas.openxmlformats.org/officeDocument/2006/relationships/chart" Target="charts/chart5.xml"/><Relationship Id="rId7" Type="http://schemas.openxmlformats.org/officeDocument/2006/relationships/chart" Target="charts/chart4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4" Type="http://schemas.openxmlformats.org/officeDocument/2006/relationships/chart" Target="charts/chart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hart" Target="charts/chart7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4" Type="http://schemas.microsoft.com/office/2011/relationships/chartColorStyle" Target="colors4.xml"/><Relationship Id="rId3" Type="http://schemas.microsoft.com/office/2011/relationships/chartStyle" Target="style4.xml"/><Relationship Id="rId2" Type="http://schemas.openxmlformats.org/officeDocument/2006/relationships/themeOverride" Target="../theme/themeOverride1.xml"/><Relationship Id="rId1" Type="http://schemas.openxmlformats.org/officeDocument/2006/relationships/oleObject" Target="file:///C:\Users\Administrator\Desktop\&#26032;&#24314;%20XLSX%20&#24037;&#20316;&#34920;.xlsx" TargetMode="External"/></Relationships>
</file>

<file path=word/charts/_rels/chart2.xml.rels><?xml version="1.0" encoding="UTF-8" standalone="yes"?>
<Relationships xmlns="http://schemas.openxmlformats.org/package/2006/relationships"><Relationship Id="rId4" Type="http://schemas.microsoft.com/office/2011/relationships/chartColorStyle" Target="colors5.xml"/><Relationship Id="rId3" Type="http://schemas.microsoft.com/office/2011/relationships/chartStyle" Target="style5.xml"/><Relationship Id="rId2" Type="http://schemas.openxmlformats.org/officeDocument/2006/relationships/themeOverride" Target="../theme/themeOverride2.xml"/><Relationship Id="rId1" Type="http://schemas.openxmlformats.org/officeDocument/2006/relationships/oleObject" Target="file:///C:\Users\Administrator\Desktop\&#26032;&#24314;%20XLSX%20&#24037;&#20316;&#34920;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oleObject" Target="file:///C:\Users\Administrator\Desktop\&#26032;&#24314;%20XLSX%20&#24037;&#20316;&#34920;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ColorStyle" Target="colors6.xml"/><Relationship Id="rId2" Type="http://schemas.microsoft.com/office/2011/relationships/chartStyle" Target="style6.xml"/><Relationship Id="rId1" Type="http://schemas.openxmlformats.org/officeDocument/2006/relationships/oleObject" Target="file:///C:\Users\Administrator\Desktop\&#26032;&#24314;%20XLSX%20&#24037;&#20316;&#34920;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microsoft.com/office/2011/relationships/chartColorStyle" Target="colors7.xml"/><Relationship Id="rId2" Type="http://schemas.microsoft.com/office/2011/relationships/chartStyle" Target="style7.xml"/><Relationship Id="rId1" Type="http://schemas.openxmlformats.org/officeDocument/2006/relationships/oleObject" Target="file:///C:\Users\Administrator\Desktop\&#26032;&#24314;%20XLSX%20&#24037;&#20316;&#34920;.xlsx" TargetMode="External"/></Relationships>
</file>

<file path=word/charts/_rels/chart6.xml.rels><?xml version="1.0" encoding="UTF-8" standalone="yes"?>
<Relationships xmlns="http://schemas.openxmlformats.org/package/2006/relationships"><Relationship Id="rId3" Type="http://schemas.microsoft.com/office/2011/relationships/chartColorStyle" Target="colors3.xml"/><Relationship Id="rId2" Type="http://schemas.microsoft.com/office/2011/relationships/chartStyle" Target="style3.xml"/><Relationship Id="rId1" Type="http://schemas.openxmlformats.org/officeDocument/2006/relationships/oleObject" Target="file:///C:\Users\Administrator\Desktop\&#26032;&#24314;%20XLSX%20&#24037;&#20316;&#34920;.xlsx" TargetMode="External"/></Relationships>
</file>

<file path=word/charts/_rels/chart7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microsoft.com/office/2011/relationships/chartStyle" Target="style2.xml"/><Relationship Id="rId1" Type="http://schemas.openxmlformats.org/officeDocument/2006/relationships/oleObject" Target="file:///C:\Users\Administrator\Desktop\&#26032;&#24314;%20XLSX%20&#24037;&#20316;&#34920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 sz="1000">
                <a:latin typeface="宋体" panose="02010600030101010101" charset="-122"/>
                <a:ea typeface="宋体" panose="02010600030101010101" charset="-122"/>
                <a:cs typeface="宋体" panose="02010600030101010101" charset="-122"/>
              </a:rPr>
              <a:t>图</a:t>
            </a:r>
            <a:r>
              <a:rPr lang="en-US" altLang="zh-CN" sz="1000">
                <a:latin typeface="宋体" panose="02010600030101010101" charset="-122"/>
                <a:ea typeface="宋体" panose="02010600030101010101" charset="-122"/>
                <a:cs typeface="宋体" panose="02010600030101010101" charset="-122"/>
              </a:rPr>
              <a:t>1  HPMC</a:t>
            </a:r>
            <a:r>
              <a:rPr lang="zh-CN" altLang="en-US" sz="1000">
                <a:latin typeface="宋体" panose="02010600030101010101" charset="-122"/>
                <a:ea typeface="宋体" panose="02010600030101010101" charset="-122"/>
                <a:cs typeface="宋体" panose="02010600030101010101" charset="-122"/>
              </a:rPr>
              <a:t>黏度对药物释放度影响</a:t>
            </a:r>
            <a:endParaRPr lang="zh-CN" altLang="en-US" sz="1000">
              <a:latin typeface="宋体" panose="02010600030101010101" charset="-122"/>
              <a:ea typeface="宋体" panose="02010600030101010101" charset="-122"/>
              <a:cs typeface="宋体" panose="02010600030101010101" charset="-122"/>
            </a:endParaRPr>
          </a:p>
        </c:rich>
      </c:tx>
      <c:layout>
        <c:manualLayout>
          <c:xMode val="edge"/>
          <c:yMode val="edge"/>
          <c:x val="0.260894495527924"/>
          <c:y val="0.905824093087159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35280863246688"/>
          <c:y val="0.115027468778018"/>
          <c:w val="0.665886683317996"/>
          <c:h val="0.605748447919062"/>
        </c:manualLayout>
      </c:layout>
      <c:lineChart>
        <c:grouping val="standard"/>
        <c:varyColors val="0"/>
        <c:ser>
          <c:idx val="0"/>
          <c:order val="0"/>
          <c:tx>
            <c:strRef>
              <c:f>'[新建 XLSX 工作表.xlsx]Sheet1'!$C$7</c:f>
              <c:strCache>
                <c:ptCount val="1"/>
                <c:pt idx="0">
                  <c:v>K4M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'[新建 XLSX 工作表.20231127002135368.xlsx]Sheet1'!$D$6:$J$6</c:f>
              <c:numCache>
                <c:formatCode>General</c:formatCode>
                <c:ptCount val="7"/>
                <c:pt idx="0">
                  <c:v>0.5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</c:numCache>
            </c:numRef>
          </c:cat>
          <c:val>
            <c:numRef>
              <c:f>'[新建 XLSX 工作表.20231127002135368.xlsx]Sheet1'!$D$7:$J$7</c:f>
              <c:numCache>
                <c:formatCode>General</c:formatCode>
                <c:ptCount val="7"/>
                <c:pt idx="0">
                  <c:v>8</c:v>
                </c:pt>
                <c:pt idx="1">
                  <c:v>43</c:v>
                </c:pt>
                <c:pt idx="2">
                  <c:v>64</c:v>
                </c:pt>
                <c:pt idx="3">
                  <c:v>79</c:v>
                </c:pt>
                <c:pt idx="4">
                  <c:v>85</c:v>
                </c:pt>
                <c:pt idx="5">
                  <c:v>90</c:v>
                </c:pt>
                <c:pt idx="6">
                  <c:v>91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'[新建 XLSX 工作表.xlsx]Sheet1'!$C$8</c:f>
              <c:strCache>
                <c:ptCount val="1"/>
                <c:pt idx="0">
                  <c:v>K15M</c:v>
                </c:pt>
              </c:strCache>
            </c:strRef>
          </c:tx>
          <c:spPr>
            <a:ln w="28575" cap="rnd">
              <a:solidFill>
                <a:srgbClr val="FF0000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'[新建 XLSX 工作表.20231127002135368.xlsx]Sheet1'!$D$6:$J$6</c:f>
              <c:numCache>
                <c:formatCode>General</c:formatCode>
                <c:ptCount val="7"/>
                <c:pt idx="0">
                  <c:v>0.5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</c:numCache>
            </c:numRef>
          </c:cat>
          <c:val>
            <c:numRef>
              <c:f>'[新建 XLSX 工作表.20231127002135368.xlsx]Sheet1'!$D$8:$J$8</c:f>
              <c:numCache>
                <c:formatCode>General</c:formatCode>
                <c:ptCount val="7"/>
                <c:pt idx="0">
                  <c:v>6</c:v>
                </c:pt>
                <c:pt idx="1">
                  <c:v>31</c:v>
                </c:pt>
                <c:pt idx="2">
                  <c:v>49</c:v>
                </c:pt>
                <c:pt idx="3">
                  <c:v>62</c:v>
                </c:pt>
                <c:pt idx="4">
                  <c:v>72</c:v>
                </c:pt>
                <c:pt idx="5">
                  <c:v>79</c:v>
                </c:pt>
                <c:pt idx="6">
                  <c:v>82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'[新建 XLSX 工作表.xlsx]Sheet1'!$C$9</c:f>
              <c:strCache>
                <c:ptCount val="1"/>
                <c:pt idx="0">
                  <c:v>K100M</c:v>
                </c:pt>
              </c:strCache>
            </c:strRef>
          </c:tx>
          <c:spPr>
            <a:ln w="28575" cap="rnd">
              <a:solidFill>
                <a:srgbClr val="FFC000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'[新建 XLSX 工作表.20231127002135368.xlsx]Sheet1'!$D$6:$J$6</c:f>
              <c:numCache>
                <c:formatCode>General</c:formatCode>
                <c:ptCount val="7"/>
                <c:pt idx="0">
                  <c:v>0.5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</c:numCache>
            </c:numRef>
          </c:cat>
          <c:val>
            <c:numRef>
              <c:f>'[新建 XLSX 工作表.20231127002135368.xlsx]Sheet1'!$D$9:$J$9</c:f>
              <c:numCache>
                <c:formatCode>General</c:formatCode>
                <c:ptCount val="7"/>
                <c:pt idx="0">
                  <c:v>3</c:v>
                </c:pt>
                <c:pt idx="1">
                  <c:v>23</c:v>
                </c:pt>
                <c:pt idx="2">
                  <c:v>35</c:v>
                </c:pt>
                <c:pt idx="3">
                  <c:v>44</c:v>
                </c:pt>
                <c:pt idx="4">
                  <c:v>54</c:v>
                </c:pt>
                <c:pt idx="5">
                  <c:v>58</c:v>
                </c:pt>
                <c:pt idx="6">
                  <c:v>69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184354304"/>
        <c:axId val="188928512"/>
      </c:lineChart>
      <c:catAx>
        <c:axId val="184354304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t/h</a:t>
                </a:r>
                <a:endParaRPr lang="en-US" altLang="zh-CN"/>
              </a:p>
            </c:rich>
          </c:tx>
          <c:layout>
            <c:manualLayout>
              <c:xMode val="edge"/>
              <c:yMode val="edge"/>
              <c:x val="0.428622090742054"/>
              <c:y val="0.822619841405054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in"/>
        <c:minorTickMark val="none"/>
        <c:tickLblPos val="nextTo"/>
        <c:spPr>
          <a:noFill/>
          <a:ln w="9525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88928512"/>
        <c:crosses val="autoZero"/>
        <c:auto val="0"/>
        <c:lblAlgn val="ctr"/>
        <c:lblOffset val="100"/>
        <c:tickMarkSkip val="2"/>
        <c:noMultiLvlLbl val="0"/>
      </c:catAx>
      <c:valAx>
        <c:axId val="188928512"/>
        <c:scaling>
          <c:orientation val="minMax"/>
        </c:scaling>
        <c:delete val="0"/>
        <c:axPos val="l"/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Release/%</a:t>
                </a:r>
                <a:endParaRPr lang="en-US" altLang="zh-CN"/>
              </a:p>
            </c:rich>
          </c:tx>
          <c:layout>
            <c:manualLayout>
              <c:xMode val="edge"/>
              <c:yMode val="edge"/>
              <c:x val="0.0246452393687212"/>
              <c:y val="0.330742659758204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0"/>
        <c:majorTickMark val="in"/>
        <c:minorTickMark val="none"/>
        <c:tickLblPos val="nextTo"/>
        <c:spPr>
          <a:noFill/>
          <a:ln>
            <a:solidFill>
              <a:sysClr val="windowText" lastClr="000000"/>
            </a:solidFill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84354304"/>
        <c:crosses val="autoZero"/>
        <c:crossBetween val="midCat"/>
        <c:majorUnit val="20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57552254502432"/>
          <c:y val="0.397332720165555"/>
        </c:manualLayout>
      </c:layout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  <c:extLst>
      <c:ext uri="{0b15fc19-7d7d-44ad-8c2d-2c3a37ce22c3}">
        <chartProps xmlns="https://web.wps.cn/et/2018/main" chartId="{a6f8406f-944c-44d6-a955-d5d3a6d19a1a}"/>
      </c:ext>
    </c:extLst>
  </c:chart>
  <c:spPr>
    <a:solidFill>
      <a:schemeClr val="bg1"/>
    </a:solidFill>
    <a:ln w="3175" cap="flat" cmpd="sng" algn="ctr">
      <a:solidFill>
        <a:sysClr val="window" lastClr="FFFFFF"/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200" b="1" i="0" u="none" strike="noStrike" kern="1200" baseline="0">
                <a:solidFill>
                  <a:sysClr val="windowText" lastClr="000000">
                    <a:lumMod val="75000"/>
                    <a:lumOff val="2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zh-CN" altLang="en-US" sz="1200"/>
              <a:t>图</a:t>
            </a:r>
            <a:r>
              <a:rPr lang="en-US" altLang="zh-CN" sz="1200"/>
              <a:t>2  HPMC</a:t>
            </a:r>
            <a:r>
              <a:rPr lang="zh-CN" altLang="en-US" sz="1200"/>
              <a:t>用量对药物释放影响</a:t>
            </a:r>
            <a:endParaRPr lang="zh-CN" altLang="en-US" sz="1200"/>
          </a:p>
        </c:rich>
      </c:tx>
      <c:layout>
        <c:manualLayout>
          <c:xMode val="edge"/>
          <c:yMode val="edge"/>
          <c:x val="0.26"/>
          <c:y val="0.875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33552631578947"/>
          <c:y val="0.0666666666666667"/>
          <c:w val="0.6775"/>
          <c:h val="0.615277777777778"/>
        </c:manualLayout>
      </c:layout>
      <c:lineChart>
        <c:grouping val="standard"/>
        <c:varyColors val="0"/>
        <c:ser>
          <c:idx val="0"/>
          <c:order val="0"/>
          <c:tx>
            <c:strRef>
              <c:f>'[新建 XLSX 工作表.xlsx]Sheet2'!$C$3</c:f>
              <c:strCache>
                <c:ptCount val="1"/>
                <c:pt idx="0">
                  <c:v>0.75:1</c:v>
                </c:pt>
              </c:strCache>
            </c:strRef>
          </c:tx>
          <c:spPr>
            <a:ln w="28575" cap="rnd">
              <a:solidFill>
                <a:srgbClr val="4874CB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'[新建 XLSX 工作表.xlsx]Sheet2'!$D$2:$J$2</c:f>
              <c:numCache>
                <c:formatCode>General</c:formatCode>
                <c:ptCount val="7"/>
                <c:pt idx="0">
                  <c:v>0.5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</c:numCache>
            </c:numRef>
          </c:cat>
          <c:val>
            <c:numRef>
              <c:f>'[新建 XLSX 工作表.xlsx]Sheet2'!$D$3:$J$3</c:f>
              <c:numCache>
                <c:formatCode>General</c:formatCode>
                <c:ptCount val="7"/>
                <c:pt idx="0">
                  <c:v>13</c:v>
                </c:pt>
                <c:pt idx="1">
                  <c:v>49</c:v>
                </c:pt>
                <c:pt idx="2">
                  <c:v>64</c:v>
                </c:pt>
                <c:pt idx="3">
                  <c:v>80</c:v>
                </c:pt>
                <c:pt idx="4">
                  <c:v>84</c:v>
                </c:pt>
                <c:pt idx="5">
                  <c:v>90</c:v>
                </c:pt>
                <c:pt idx="6">
                  <c:v>93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'[新建 XLSX 工作表.xlsx]Sheet2'!$C$4</c:f>
              <c:strCache>
                <c:ptCount val="1"/>
                <c:pt idx="0">
                  <c:v>1.5:1</c:v>
                </c:pt>
              </c:strCache>
            </c:strRef>
          </c:tx>
          <c:spPr>
            <a:ln w="28575" cap="rnd">
              <a:solidFill>
                <a:srgbClr val="EE822F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'[新建 XLSX 工作表.xlsx]Sheet2'!$D$2:$J$2</c:f>
              <c:numCache>
                <c:formatCode>General</c:formatCode>
                <c:ptCount val="7"/>
                <c:pt idx="0">
                  <c:v>0.5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</c:numCache>
            </c:numRef>
          </c:cat>
          <c:val>
            <c:numRef>
              <c:f>'[新建 XLSX 工作表.xlsx]Sheet2'!$D$4:$J$4</c:f>
              <c:numCache>
                <c:formatCode>General</c:formatCode>
                <c:ptCount val="7"/>
                <c:pt idx="0">
                  <c:v>9</c:v>
                </c:pt>
                <c:pt idx="1">
                  <c:v>32</c:v>
                </c:pt>
                <c:pt idx="2">
                  <c:v>51</c:v>
                </c:pt>
                <c:pt idx="3">
                  <c:v>62</c:v>
                </c:pt>
                <c:pt idx="4">
                  <c:v>72</c:v>
                </c:pt>
                <c:pt idx="5">
                  <c:v>79</c:v>
                </c:pt>
                <c:pt idx="6">
                  <c:v>89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'[新建 XLSX 工作表.xlsx]Sheet2'!$C$5</c:f>
              <c:strCache>
                <c:ptCount val="1"/>
                <c:pt idx="0">
                  <c:v>2.25:1</c:v>
                </c:pt>
              </c:strCache>
            </c:strRef>
          </c:tx>
          <c:spPr>
            <a:ln w="28575" cap="rnd">
              <a:solidFill>
                <a:srgbClr val="F2BA0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'[新建 XLSX 工作表.xlsx]Sheet2'!$D$2:$J$2</c:f>
              <c:numCache>
                <c:formatCode>General</c:formatCode>
                <c:ptCount val="7"/>
                <c:pt idx="0">
                  <c:v>0.5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</c:numCache>
            </c:numRef>
          </c:cat>
          <c:val>
            <c:numRef>
              <c:f>'[新建 XLSX 工作表.xlsx]Sheet2'!$D$5:$J$5</c:f>
              <c:numCache>
                <c:formatCode>General</c:formatCode>
                <c:ptCount val="7"/>
                <c:pt idx="0">
                  <c:v>4</c:v>
                </c:pt>
                <c:pt idx="1">
                  <c:v>22</c:v>
                </c:pt>
                <c:pt idx="2">
                  <c:v>34</c:v>
                </c:pt>
                <c:pt idx="3">
                  <c:v>49</c:v>
                </c:pt>
                <c:pt idx="4">
                  <c:v>62</c:v>
                </c:pt>
                <c:pt idx="5">
                  <c:v>69</c:v>
                </c:pt>
                <c:pt idx="6">
                  <c:v>80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245186560"/>
        <c:axId val="188931392"/>
      </c:lineChart>
      <c:catAx>
        <c:axId val="245186560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1000"/>
                  <a:t>t/h</a:t>
                </a:r>
                <a:endParaRPr lang="en-US" altLang="zh-CN" sz="1000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in"/>
        <c:minorTickMark val="none"/>
        <c:tickLblPos val="nextTo"/>
        <c:spPr>
          <a:noFill/>
          <a:ln w="12700" cap="flat" cmpd="sng" algn="ctr">
            <a:solidFill>
              <a:sysClr val="windowText" lastClr="000000"/>
            </a:solidFill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</a:p>
        </c:txPr>
        <c:crossAx val="188931392"/>
        <c:crosses val="autoZero"/>
        <c:auto val="1"/>
        <c:lblAlgn val="ctr"/>
        <c:lblOffset val="100"/>
        <c:noMultiLvlLbl val="0"/>
      </c:catAx>
      <c:valAx>
        <c:axId val="188931392"/>
        <c:scaling>
          <c:orientation val="minMax"/>
        </c:scaling>
        <c:delete val="0"/>
        <c:axPos val="l"/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ysClr val="windowText" lastClr="000000">
                        <a:lumMod val="65000"/>
                        <a:lumOff val="35000"/>
                      </a:sys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1000"/>
                  <a:t>Q  %</a:t>
                </a:r>
                <a:endParaRPr lang="en-US" altLang="zh-CN" sz="1000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in"/>
        <c:minorTickMark val="none"/>
        <c:tickLblPos val="nextTo"/>
        <c:spPr>
          <a:noFill/>
          <a:ln w="12700" cmpd="sng">
            <a:solidFill>
              <a:sysClr val="windowText" lastClr="000000"/>
            </a:solidFill>
            <a:prstDash val="solid"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</a:p>
        </c:txPr>
        <c:crossAx val="245186560"/>
        <c:crosses val="autoZero"/>
        <c:crossBetween val="midCat"/>
        <c:majorUnit val="20"/>
      </c:valAx>
      <c:spPr>
        <a:noFill/>
        <a:ln>
          <a:noFill/>
        </a:ln>
        <a:effectLst/>
      </c:spPr>
    </c:plotArea>
    <c:legend>
      <c:legendPos val="r"/>
      <c:legendEntry>
        <c:idx val="0"/>
        <c:txPr>
          <a:bodyPr rot="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</a:p>
        </c:txPr>
      </c:legendEntry>
      <c:legendEntry>
        <c:idx val="1"/>
        <c:txPr>
          <a:bodyPr rot="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</a:p>
        </c:txPr>
      </c:legendEntry>
      <c:legendEntry>
        <c:idx val="2"/>
        <c:txPr>
          <a:bodyPr rot="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</a:p>
        </c:txPr>
      </c:legendEntry>
      <c:layout>
        <c:manualLayout>
          <c:xMode val="edge"/>
          <c:yMode val="edge"/>
          <c:x val="0.720526315789474"/>
          <c:y val="0.308564814814815"/>
        </c:manualLayout>
      </c:layout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1000" b="0" i="0" u="none" strike="noStrike" kern="1200" baseline="0">
              <a:solidFill>
                <a:sysClr val="windowText" lastClr="000000">
                  <a:lumMod val="65000"/>
                  <a:lumOff val="35000"/>
                </a:sys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  <c:extLst>
      <c:ext uri="{0b15fc19-7d7d-44ad-8c2d-2c3a37ce22c3}">
        <chartProps xmlns="https://web.wps.cn/et/2018/main" chartId="{09187db0-2556-49c9-a1ba-9bf132655b19}"/>
      </c:ext>
    </c:extLst>
  </c:chart>
  <c:spPr>
    <a:solidFill>
      <a:sysClr val="window" lastClr="FFFFFF"/>
    </a:solidFill>
    <a:ln w="9525" cap="flat" cmpd="sng" algn="ctr">
      <a:noFill/>
      <a:round/>
    </a:ln>
    <a:effectLst/>
  </c:spPr>
  <c:txPr>
    <a:bodyPr rot="0" vert="horz" anchor="b" anchorCtr="1"/>
    <a:lstStyle/>
    <a:p>
      <a:pPr>
        <a:defRPr lang="zh-CN" sz="1000"/>
      </a:pPr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2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 sz="1200"/>
              <a:t>图</a:t>
            </a:r>
            <a:r>
              <a:rPr lang="en-US" altLang="zh-CN" sz="1200"/>
              <a:t>3  </a:t>
            </a:r>
            <a:r>
              <a:rPr lang="zh-CN" altLang="en-US" sz="1200"/>
              <a:t>填充剂种类对药物释放影响</a:t>
            </a:r>
            <a:endParaRPr lang="zh-CN" altLang="en-US" sz="1200"/>
          </a:p>
        </c:rich>
      </c:tx>
      <c:layout>
        <c:manualLayout>
          <c:xMode val="edge"/>
          <c:yMode val="edge"/>
          <c:x val="0.233815789473684"/>
          <c:y val="0.90162037037037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29815789473684"/>
          <c:y val="0.109953703703704"/>
          <c:w val="0.706105263157895"/>
          <c:h val="0.614212962962963"/>
        </c:manualLayout>
      </c:layout>
      <c:lineChart>
        <c:grouping val="standard"/>
        <c:varyColors val="0"/>
        <c:ser>
          <c:idx val="0"/>
          <c:order val="0"/>
          <c:tx>
            <c:strRef>
              <c:f>'[新建 XLSX 工作表.xlsx]Sheet3'!$C$4</c:f>
              <c:strCache>
                <c:ptCount val="1"/>
                <c:pt idx="0">
                  <c:v>淀粉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'[新建 XLSX 工作表.xlsx]Sheet3'!$D$3:$J$3</c:f>
              <c:numCache>
                <c:formatCode>General</c:formatCode>
                <c:ptCount val="7"/>
                <c:pt idx="0">
                  <c:v>0.5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</c:numCache>
            </c:numRef>
          </c:cat>
          <c:val>
            <c:numRef>
              <c:f>'[新建 XLSX 工作表.xlsx]Sheet3'!$D$4:$J$4</c:f>
              <c:numCache>
                <c:formatCode>General</c:formatCode>
                <c:ptCount val="7"/>
                <c:pt idx="0">
                  <c:v>6</c:v>
                </c:pt>
                <c:pt idx="1">
                  <c:v>19</c:v>
                </c:pt>
                <c:pt idx="2">
                  <c:v>30</c:v>
                </c:pt>
                <c:pt idx="3">
                  <c:v>48</c:v>
                </c:pt>
                <c:pt idx="4">
                  <c:v>68</c:v>
                </c:pt>
                <c:pt idx="5">
                  <c:v>72</c:v>
                </c:pt>
                <c:pt idx="6">
                  <c:v>86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'[新建 XLSX 工作表.xlsx]Sheet3'!$C$5</c:f>
              <c:strCache>
                <c:ptCount val="1"/>
                <c:pt idx="0">
                  <c:v>乳糖</c:v>
                </c:pt>
              </c:strCache>
            </c:strRef>
          </c:tx>
          <c:spPr>
            <a:ln w="28575" cap="rnd">
              <a:solidFill>
                <a:srgbClr val="FFC000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'[新建 XLSX 工作表.xlsx]Sheet3'!$D$3:$J$3</c:f>
              <c:numCache>
                <c:formatCode>General</c:formatCode>
                <c:ptCount val="7"/>
                <c:pt idx="0">
                  <c:v>0.5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</c:numCache>
            </c:numRef>
          </c:cat>
          <c:val>
            <c:numRef>
              <c:f>'[新建 XLSX 工作表.xlsx]Sheet3'!$D$5:$J$5</c:f>
              <c:numCache>
                <c:formatCode>General</c:formatCode>
                <c:ptCount val="7"/>
                <c:pt idx="0">
                  <c:v>7</c:v>
                </c:pt>
                <c:pt idx="1">
                  <c:v>36</c:v>
                </c:pt>
                <c:pt idx="2">
                  <c:v>51</c:v>
                </c:pt>
                <c:pt idx="3">
                  <c:v>62</c:v>
                </c:pt>
                <c:pt idx="4">
                  <c:v>78</c:v>
                </c:pt>
                <c:pt idx="5">
                  <c:v>81</c:v>
                </c:pt>
                <c:pt idx="6">
                  <c:v>90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'[新建 XLSX 工作表.xlsx]Sheet3'!$C$6</c:f>
              <c:strCache>
                <c:ptCount val="1"/>
                <c:pt idx="0">
                  <c:v>MCC</c:v>
                </c:pt>
              </c:strCache>
            </c:strRef>
          </c:tx>
          <c:spPr>
            <a:ln w="28575" cap="rnd">
              <a:solidFill>
                <a:srgbClr val="FF0000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'[新建 XLSX 工作表.xlsx]Sheet3'!$D$3:$J$3</c:f>
              <c:numCache>
                <c:formatCode>General</c:formatCode>
                <c:ptCount val="7"/>
                <c:pt idx="0">
                  <c:v>0.5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</c:numCache>
            </c:numRef>
          </c:cat>
          <c:val>
            <c:numRef>
              <c:f>'[新建 XLSX 工作表.xlsx]Sheet3'!$D$6:$J$6</c:f>
              <c:numCache>
                <c:formatCode>General</c:formatCode>
                <c:ptCount val="7"/>
                <c:pt idx="0">
                  <c:v>6.5</c:v>
                </c:pt>
                <c:pt idx="1">
                  <c:v>31</c:v>
                </c:pt>
                <c:pt idx="2">
                  <c:v>47</c:v>
                </c:pt>
                <c:pt idx="3">
                  <c:v>58</c:v>
                </c:pt>
                <c:pt idx="4">
                  <c:v>79</c:v>
                </c:pt>
                <c:pt idx="5">
                  <c:v>83</c:v>
                </c:pt>
                <c:pt idx="6">
                  <c:v>89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184353280"/>
        <c:axId val="246326400"/>
      </c:lineChart>
      <c:catAx>
        <c:axId val="184353280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1000"/>
                  <a:t>t/h</a:t>
                </a:r>
                <a:endParaRPr lang="en-US" altLang="zh-CN" sz="1000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cross"/>
        <c:minorTickMark val="none"/>
        <c:tickLblPos val="nextTo"/>
        <c:spPr>
          <a:noFill/>
          <a:ln w="6350" cap="flat" cmpd="sng" algn="ctr">
            <a:solidFill>
              <a:schemeClr val="tx1"/>
            </a:solidFill>
            <a:prstDash val="solid"/>
            <a:miter lim="800000"/>
          </a:ln>
          <a:effectLst/>
        </c:spPr>
        <c:txPr>
          <a:bodyPr rot="-60000000" spcFirstLastPara="0" vertOverflow="ellipsis" vert="horz" wrap="square" anchor="ctr" anchorCtr="0"/>
          <a:lstStyle/>
          <a:p>
            <a:pPr>
              <a:defRPr lang="zh-CN"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246326400"/>
        <c:crosses val="autoZero"/>
        <c:auto val="1"/>
        <c:lblAlgn val="ctr"/>
        <c:lblOffset val="100"/>
        <c:noMultiLvlLbl val="0"/>
      </c:catAx>
      <c:valAx>
        <c:axId val="246326400"/>
        <c:scaling>
          <c:orientation val="minMax"/>
        </c:scaling>
        <c:delete val="0"/>
        <c:axPos val="l"/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1000"/>
                  <a:t>Release/%</a:t>
                </a:r>
                <a:endParaRPr lang="en-US" altLang="zh-CN" sz="1000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in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184353280"/>
        <c:crosses val="autoZero"/>
        <c:crossBetween val="midCat"/>
        <c:majorUnit val="20"/>
      </c:valAx>
      <c:spPr>
        <a:noFill/>
        <a:ln>
          <a:noFill/>
        </a:ln>
        <a:effectLst/>
      </c:spPr>
    </c:plotArea>
    <c:legend>
      <c:legendPos val="r"/>
      <c:legendEntry>
        <c:idx val="0"/>
        <c:txPr>
          <a:bodyPr rot="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</c:legendEntry>
      <c:legendEntry>
        <c:idx val="1"/>
        <c:txPr>
          <a:bodyPr rot="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</c:legendEntry>
      <c:legendEntry>
        <c:idx val="2"/>
        <c:txPr>
          <a:bodyPr rot="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</c:legendEntry>
      <c:layout>
        <c:manualLayout>
          <c:xMode val="edge"/>
          <c:yMode val="edge"/>
          <c:x val="0.743684210526316"/>
          <c:y val="0.346990740740741"/>
        </c:manualLayout>
      </c:layout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10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  <c:extLst>
      <c:ext uri="{0b15fc19-7d7d-44ad-8c2d-2c3a37ce22c3}">
        <chartProps xmlns="https://web.wps.cn/et/2018/main" chartId="{c3d6fd93-4f61-4701-b8bb-1c278566cc35}"/>
      </c:ext>
    </c:extLst>
  </c:chart>
  <c:spPr>
    <a:solidFill>
      <a:schemeClr val="bg1"/>
    </a:solidFill>
    <a:ln w="9525" cap="flat" cmpd="sng" algn="ctr">
      <a:solidFill>
        <a:schemeClr val="bg1"/>
      </a:solidFill>
      <a:round/>
    </a:ln>
    <a:effectLst/>
  </c:spPr>
  <c:txPr>
    <a:bodyPr/>
    <a:lstStyle/>
    <a:p>
      <a:pPr>
        <a:defRPr lang="zh-CN" sz="1000"/>
      </a:pPr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08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 sz="1080"/>
              <a:t>图</a:t>
            </a:r>
            <a:r>
              <a:rPr lang="en-US" altLang="zh-CN" sz="1080"/>
              <a:t>4 </a:t>
            </a:r>
            <a:r>
              <a:rPr lang="zh-CN" altLang="en-US" sz="1080"/>
              <a:t>填充剂用量对药物释放度影响</a:t>
            </a:r>
            <a:endParaRPr lang="zh-CN" altLang="en-US" sz="1080"/>
          </a:p>
        </c:rich>
      </c:tx>
      <c:layout>
        <c:manualLayout>
          <c:xMode val="edge"/>
          <c:yMode val="edge"/>
          <c:x val="0.290263157894737"/>
          <c:y val="0.888888888888889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27973684210526"/>
          <c:y val="0.062037037037037"/>
          <c:w val="0.708473684210526"/>
          <c:h val="0.639907407407407"/>
        </c:manualLayout>
      </c:layout>
      <c:lineChart>
        <c:grouping val="standard"/>
        <c:varyColors val="0"/>
        <c:ser>
          <c:idx val="0"/>
          <c:order val="0"/>
          <c:tx>
            <c:strRef>
              <c:f>'[新建 XLSX 工作表.xlsx]Sheet4'!$D$3</c:f>
              <c:strCache>
                <c:ptCount val="1"/>
                <c:pt idx="0">
                  <c:v>1.5:1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'[新建 XLSX 工作表.xlsx]Sheet4'!$E$2:$K$2</c:f>
              <c:numCache>
                <c:formatCode>General</c:formatCode>
                <c:ptCount val="7"/>
                <c:pt idx="0">
                  <c:v>0.5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</c:numCache>
            </c:numRef>
          </c:cat>
          <c:val>
            <c:numRef>
              <c:f>'[新建 XLSX 工作表.xlsx]Sheet4'!$E$3:$K$3</c:f>
              <c:numCache>
                <c:formatCode>General</c:formatCode>
                <c:ptCount val="7"/>
                <c:pt idx="0">
                  <c:v>11</c:v>
                </c:pt>
                <c:pt idx="1">
                  <c:v>38</c:v>
                </c:pt>
                <c:pt idx="2">
                  <c:v>54</c:v>
                </c:pt>
                <c:pt idx="3">
                  <c:v>63</c:v>
                </c:pt>
                <c:pt idx="4">
                  <c:v>78</c:v>
                </c:pt>
                <c:pt idx="5">
                  <c:v>83</c:v>
                </c:pt>
                <c:pt idx="6">
                  <c:v>92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'[新建 XLSX 工作表.xlsx]Sheet4'!$D$4</c:f>
              <c:strCache>
                <c:ptCount val="1"/>
                <c:pt idx="0">
                  <c:v>2.5:1</c:v>
                </c:pt>
              </c:strCache>
            </c:strRef>
          </c:tx>
          <c:spPr>
            <a:ln w="28575" cap="rnd">
              <a:solidFill>
                <a:srgbClr val="FF0000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'[新建 XLSX 工作表.xlsx]Sheet4'!$E$2:$K$2</c:f>
              <c:numCache>
                <c:formatCode>General</c:formatCode>
                <c:ptCount val="7"/>
                <c:pt idx="0">
                  <c:v>0.5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</c:numCache>
            </c:numRef>
          </c:cat>
          <c:val>
            <c:numRef>
              <c:f>'[新建 XLSX 工作表.xlsx]Sheet4'!$E$4:$K$4</c:f>
              <c:numCache>
                <c:formatCode>General</c:formatCode>
                <c:ptCount val="7"/>
                <c:pt idx="0">
                  <c:v>16</c:v>
                </c:pt>
                <c:pt idx="1">
                  <c:v>34</c:v>
                </c:pt>
                <c:pt idx="2">
                  <c:v>51</c:v>
                </c:pt>
                <c:pt idx="3">
                  <c:v>62</c:v>
                </c:pt>
                <c:pt idx="4">
                  <c:v>79</c:v>
                </c:pt>
                <c:pt idx="5">
                  <c:v>84</c:v>
                </c:pt>
                <c:pt idx="6">
                  <c:v>93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'[新建 XLSX 工作表.xlsx]Sheet4'!$D$5</c:f>
              <c:strCache>
                <c:ptCount val="1"/>
                <c:pt idx="0">
                  <c:v>3.5:1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'[新建 XLSX 工作表.xlsx]Sheet4'!$E$2:$K$2</c:f>
              <c:numCache>
                <c:formatCode>General</c:formatCode>
                <c:ptCount val="7"/>
                <c:pt idx="0">
                  <c:v>0.5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</c:numCache>
            </c:numRef>
          </c:cat>
          <c:val>
            <c:numRef>
              <c:f>'[新建 XLSX 工作表.xlsx]Sheet4'!$E$5:$K$5</c:f>
              <c:numCache>
                <c:formatCode>General</c:formatCode>
                <c:ptCount val="7"/>
                <c:pt idx="0">
                  <c:v>13</c:v>
                </c:pt>
                <c:pt idx="1">
                  <c:v>30</c:v>
                </c:pt>
                <c:pt idx="2">
                  <c:v>49</c:v>
                </c:pt>
                <c:pt idx="3">
                  <c:v>60</c:v>
                </c:pt>
                <c:pt idx="4">
                  <c:v>72</c:v>
                </c:pt>
                <c:pt idx="5">
                  <c:v>81</c:v>
                </c:pt>
                <c:pt idx="6">
                  <c:v>91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245188096"/>
        <c:axId val="246326976"/>
      </c:lineChart>
      <c:catAx>
        <c:axId val="245188096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 defTabSz="914400">
                  <a:defRPr lang="zh-CN"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900"/>
                  <a:t>t/h</a:t>
                </a:r>
                <a:endParaRPr lang="en-US" altLang="zh-CN" sz="900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in"/>
        <c:minorTickMark val="none"/>
        <c:tickLblPos val="nextTo"/>
        <c:spPr>
          <a:noFill/>
          <a:ln w="12700" cap="flat" cmpd="sng" algn="ctr">
            <a:solidFill>
              <a:schemeClr val="tx1"/>
            </a:solidFill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246326976"/>
        <c:crosses val="autoZero"/>
        <c:auto val="1"/>
        <c:lblAlgn val="ctr"/>
        <c:lblOffset val="100"/>
        <c:noMultiLvlLbl val="0"/>
      </c:catAx>
      <c:valAx>
        <c:axId val="246326976"/>
        <c:scaling>
          <c:orientation val="minMax"/>
        </c:scaling>
        <c:delete val="0"/>
        <c:axPos val="l"/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900"/>
                  <a:t>Release/%</a:t>
                </a:r>
                <a:endParaRPr lang="en-US" altLang="zh-CN" sz="900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in"/>
        <c:minorTickMark val="none"/>
        <c:tickLblPos val="nextTo"/>
        <c:spPr>
          <a:noFill/>
          <a:ln w="12700" cmpd="sng">
            <a:solidFill>
              <a:schemeClr val="tx1"/>
            </a:solidFill>
            <a:prstDash val="solid"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245188096"/>
        <c:crosses val="autoZero"/>
        <c:crossBetween val="midCat"/>
        <c:majorUnit val="20"/>
      </c:valAx>
      <c:spPr>
        <a:noFill/>
        <a:ln>
          <a:noFill/>
        </a:ln>
        <a:effectLst/>
      </c:spPr>
    </c:plotArea>
    <c:legend>
      <c:legendPos val="r"/>
      <c:legendEntry>
        <c:idx val="0"/>
        <c:txPr>
          <a:bodyPr rot="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</c:legendEntry>
      <c:legendEntry>
        <c:idx val="1"/>
        <c:txPr>
          <a:bodyPr rot="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</c:legendEntry>
      <c:legendEntry>
        <c:idx val="2"/>
        <c:txPr>
          <a:bodyPr rot="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</c:legendEntry>
      <c:layout>
        <c:manualLayout>
          <c:xMode val="edge"/>
          <c:yMode val="edge"/>
          <c:x val="0.728552631578947"/>
          <c:y val="0.350231481481481"/>
        </c:manualLayout>
      </c:layout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  <c:extLst>
      <c:ext uri="{0b15fc19-7d7d-44ad-8c2d-2c3a37ce22c3}">
        <chartProps xmlns="https://web.wps.cn/et/2018/main" chartId="{a535bf4d-d80c-49ee-a056-93a54fc008e8}"/>
      </c:ext>
    </c:extLst>
  </c:chart>
  <c:spPr>
    <a:solidFill>
      <a:schemeClr val="bg1"/>
    </a:solidFill>
    <a:ln w="12700" cap="flat" cmpd="sng" algn="ctr">
      <a:noFill/>
      <a:prstDash val="solid"/>
      <a:round/>
    </a:ln>
    <a:effectLst/>
  </c:spPr>
  <c:txPr>
    <a:bodyPr/>
    <a:lstStyle/>
    <a:p>
      <a:pPr>
        <a:defRPr lang="zh-CN" sz="900"/>
      </a:pPr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08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宋体" panose="02010600030101010101" charset="-122"/>
                <a:ea typeface="宋体" panose="02010600030101010101" charset="-122"/>
                <a:cs typeface="宋体" panose="02010600030101010101" charset="-122"/>
                <a:sym typeface="宋体" panose="02010600030101010101" charset="-122"/>
              </a:defRPr>
            </a:pPr>
            <a:r>
              <a:rPr lang="zh-CN" altLang="en-US" sz="1080">
                <a:latin typeface="宋体" panose="02010600030101010101" charset="-122"/>
                <a:ea typeface="宋体" panose="02010600030101010101" charset="-122"/>
                <a:cs typeface="宋体" panose="02010600030101010101" charset="-122"/>
                <a:sym typeface="宋体" panose="02010600030101010101" charset="-122"/>
              </a:rPr>
              <a:t>图</a:t>
            </a:r>
            <a:r>
              <a:rPr lang="en-US" altLang="zh-CN" sz="1080">
                <a:latin typeface="宋体" panose="02010600030101010101" charset="-122"/>
                <a:ea typeface="宋体" panose="02010600030101010101" charset="-122"/>
                <a:cs typeface="宋体" panose="02010600030101010101" charset="-122"/>
                <a:sym typeface="宋体" panose="02010600030101010101" charset="-122"/>
              </a:rPr>
              <a:t>5 </a:t>
            </a:r>
            <a:r>
              <a:rPr lang="zh-CN" altLang="en-US" sz="1080">
                <a:latin typeface="宋体" panose="02010600030101010101" charset="-122"/>
                <a:ea typeface="宋体" panose="02010600030101010101" charset="-122"/>
                <a:cs typeface="宋体" panose="02010600030101010101" charset="-122"/>
                <a:sym typeface="宋体" panose="02010600030101010101" charset="-122"/>
              </a:rPr>
              <a:t>黏合剂种类对药物释放度影响</a:t>
            </a:r>
            <a:endParaRPr lang="zh-CN" altLang="en-US" sz="1080">
              <a:latin typeface="宋体" panose="02010600030101010101" charset="-122"/>
              <a:ea typeface="宋体" panose="02010600030101010101" charset="-122"/>
              <a:cs typeface="宋体" panose="02010600030101010101" charset="-122"/>
              <a:sym typeface="宋体" panose="02010600030101010101" charset="-122"/>
            </a:endParaRPr>
          </a:p>
        </c:rich>
      </c:tx>
      <c:layout>
        <c:manualLayout>
          <c:xMode val="edge"/>
          <c:yMode val="edge"/>
          <c:x val="0.287631578947368"/>
          <c:y val="0.87962962962963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95736842105263"/>
          <c:y val="0.0777777777777778"/>
          <c:w val="0.5915"/>
          <c:h val="0.643611111111111"/>
        </c:manualLayout>
      </c:layout>
      <c:lineChart>
        <c:grouping val="standard"/>
        <c:varyColors val="0"/>
        <c:ser>
          <c:idx val="0"/>
          <c:order val="0"/>
          <c:tx>
            <c:strRef>
              <c:f>'[新建 XLSX 工作表.xlsx]Sheet5'!$C$4</c:f>
              <c:strCache>
                <c:ptCount val="1"/>
                <c:pt idx="0">
                  <c:v>85%乙醇溶液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'[新建 XLSX 工作表.xlsx]Sheet5'!$D$3:$J$3</c:f>
              <c:numCache>
                <c:formatCode>General</c:formatCode>
                <c:ptCount val="7"/>
                <c:pt idx="0">
                  <c:v>0.5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</c:numCache>
            </c:numRef>
          </c:cat>
          <c:val>
            <c:numRef>
              <c:f>'[新建 XLSX 工作表.xlsx]Sheet5'!$D$4:$J$4</c:f>
              <c:numCache>
                <c:formatCode>General</c:formatCode>
                <c:ptCount val="7"/>
                <c:pt idx="0">
                  <c:v>15</c:v>
                </c:pt>
                <c:pt idx="1">
                  <c:v>50</c:v>
                </c:pt>
                <c:pt idx="2">
                  <c:v>69</c:v>
                </c:pt>
                <c:pt idx="3">
                  <c:v>75</c:v>
                </c:pt>
                <c:pt idx="4">
                  <c:v>86</c:v>
                </c:pt>
                <c:pt idx="5">
                  <c:v>90</c:v>
                </c:pt>
                <c:pt idx="6">
                  <c:v>92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'[新建 XLSX 工作表.xlsx]Sheet5'!$C$5</c:f>
              <c:strCache>
                <c:ptCount val="1"/>
                <c:pt idx="0">
                  <c:v>10%EC乙醇溶液</c:v>
                </c:pt>
              </c:strCache>
            </c:strRef>
          </c:tx>
          <c:spPr>
            <a:ln w="28575" cap="rnd">
              <a:solidFill>
                <a:srgbClr val="FF0000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'[新建 XLSX 工作表.xlsx]Sheet5'!$D$3:$J$3</c:f>
              <c:numCache>
                <c:formatCode>General</c:formatCode>
                <c:ptCount val="7"/>
                <c:pt idx="0">
                  <c:v>0.5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</c:numCache>
            </c:numRef>
          </c:cat>
          <c:val>
            <c:numRef>
              <c:f>'[新建 XLSX 工作表.xlsx]Sheet5'!$D$5:$J$5</c:f>
              <c:numCache>
                <c:formatCode>General</c:formatCode>
                <c:ptCount val="7"/>
                <c:pt idx="0">
                  <c:v>11</c:v>
                </c:pt>
                <c:pt idx="1">
                  <c:v>39</c:v>
                </c:pt>
                <c:pt idx="2">
                  <c:v>56</c:v>
                </c:pt>
                <c:pt idx="3">
                  <c:v>62</c:v>
                </c:pt>
                <c:pt idx="4">
                  <c:v>78</c:v>
                </c:pt>
                <c:pt idx="5">
                  <c:v>85</c:v>
                </c:pt>
                <c:pt idx="6">
                  <c:v>90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'[新建 XLSX 工作表.xlsx]Sheet5'!$C$6</c:f>
              <c:strCache>
                <c:ptCount val="1"/>
                <c:pt idx="0">
                  <c:v>10%PVP乙醇溶液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'[新建 XLSX 工作表.xlsx]Sheet5'!$D$3:$J$3</c:f>
              <c:numCache>
                <c:formatCode>General</c:formatCode>
                <c:ptCount val="7"/>
                <c:pt idx="0">
                  <c:v>0.5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</c:numCache>
            </c:numRef>
          </c:cat>
          <c:val>
            <c:numRef>
              <c:f>'[新建 XLSX 工作表.xlsx]Sheet5'!$D$6:$J$6</c:f>
              <c:numCache>
                <c:formatCode>General</c:formatCode>
                <c:ptCount val="7"/>
                <c:pt idx="0">
                  <c:v>5</c:v>
                </c:pt>
                <c:pt idx="1">
                  <c:v>31</c:v>
                </c:pt>
                <c:pt idx="2">
                  <c:v>49</c:v>
                </c:pt>
                <c:pt idx="3">
                  <c:v>58</c:v>
                </c:pt>
                <c:pt idx="4">
                  <c:v>76</c:v>
                </c:pt>
                <c:pt idx="5">
                  <c:v>79</c:v>
                </c:pt>
                <c:pt idx="6">
                  <c:v>89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245188608"/>
        <c:axId val="246328704"/>
      </c:lineChart>
      <c:catAx>
        <c:axId val="245188608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 defTabSz="914400">
                  <a:defRPr lang="zh-CN"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宋体" panose="02010600030101010101" charset="-122"/>
                    <a:ea typeface="宋体" panose="02010600030101010101" charset="-122"/>
                    <a:cs typeface="宋体" panose="02010600030101010101" charset="-122"/>
                    <a:sym typeface="宋体" panose="02010600030101010101" charset="-122"/>
                  </a:defRPr>
                </a:pPr>
                <a:r>
                  <a:rPr lang="en-US" altLang="zh-CN" sz="900">
                    <a:latin typeface="宋体" panose="02010600030101010101" charset="-122"/>
                    <a:ea typeface="宋体" panose="02010600030101010101" charset="-122"/>
                    <a:cs typeface="宋体" panose="02010600030101010101" charset="-122"/>
                    <a:sym typeface="宋体" panose="02010600030101010101" charset="-122"/>
                  </a:rPr>
                  <a:t>t/h</a:t>
                </a:r>
                <a:endParaRPr lang="en-US" altLang="zh-CN" sz="900"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  <a:sym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in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宋体" panose="02010600030101010101" charset="-122"/>
                <a:ea typeface="宋体" panose="02010600030101010101" charset="-122"/>
                <a:cs typeface="宋体" panose="02010600030101010101" charset="-122"/>
                <a:sym typeface="宋体" panose="02010600030101010101" charset="-122"/>
              </a:defRPr>
            </a:pPr>
          </a:p>
        </c:txPr>
        <c:crossAx val="246328704"/>
        <c:crosses val="autoZero"/>
        <c:auto val="1"/>
        <c:lblAlgn val="ctr"/>
        <c:lblOffset val="100"/>
        <c:noMultiLvlLbl val="0"/>
      </c:catAx>
      <c:valAx>
        <c:axId val="246328704"/>
        <c:scaling>
          <c:orientation val="minMax"/>
        </c:scaling>
        <c:delete val="0"/>
        <c:axPos val="l"/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宋体" panose="02010600030101010101" charset="-122"/>
                    <a:ea typeface="宋体" panose="02010600030101010101" charset="-122"/>
                    <a:cs typeface="宋体" panose="02010600030101010101" charset="-122"/>
                    <a:sym typeface="宋体" panose="02010600030101010101" charset="-122"/>
                  </a:defRPr>
                </a:pPr>
                <a:r>
                  <a:rPr lang="en-US" altLang="zh-CN" sz="900">
                    <a:latin typeface="宋体" panose="02010600030101010101" charset="-122"/>
                    <a:ea typeface="宋体" panose="02010600030101010101" charset="-122"/>
                    <a:cs typeface="宋体" panose="02010600030101010101" charset="-122"/>
                    <a:sym typeface="宋体" panose="02010600030101010101" charset="-122"/>
                  </a:rPr>
                  <a:t>Release/%</a:t>
                </a:r>
                <a:endParaRPr lang="en-US" altLang="zh-CN" sz="900"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  <a:sym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in"/>
        <c:minorTickMark val="none"/>
        <c:tickLblPos val="nextTo"/>
        <c:spPr>
          <a:noFill/>
          <a:ln w="12700" cmpd="sng">
            <a:solidFill>
              <a:schemeClr val="tx1"/>
            </a:solidFill>
            <a:prstDash val="solid"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宋体" panose="02010600030101010101" charset="-122"/>
                <a:ea typeface="宋体" panose="02010600030101010101" charset="-122"/>
                <a:cs typeface="宋体" panose="02010600030101010101" charset="-122"/>
                <a:sym typeface="宋体" panose="02010600030101010101" charset="-122"/>
              </a:defRPr>
            </a:pPr>
          </a:p>
        </c:txPr>
        <c:crossAx val="245188608"/>
        <c:crosses val="autoZero"/>
        <c:crossBetween val="midCat"/>
        <c:majorUnit val="20"/>
      </c:valAx>
      <c:spPr>
        <a:noFill/>
        <a:ln>
          <a:noFill/>
        </a:ln>
        <a:effectLst/>
      </c:spPr>
    </c:plotArea>
    <c:legend>
      <c:legendPos val="r"/>
      <c:legendEntry>
        <c:idx val="0"/>
        <c:txPr>
          <a:bodyPr rot="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宋体" panose="02010600030101010101" charset="-122"/>
                <a:ea typeface="宋体" panose="02010600030101010101" charset="-122"/>
                <a:cs typeface="宋体" panose="02010600030101010101" charset="-122"/>
                <a:sym typeface="宋体" panose="02010600030101010101" charset="-122"/>
              </a:defRPr>
            </a:pPr>
          </a:p>
        </c:txPr>
      </c:legendEntry>
      <c:legendEntry>
        <c:idx val="1"/>
        <c:txPr>
          <a:bodyPr rot="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宋体" panose="02010600030101010101" charset="-122"/>
                <a:ea typeface="宋体" panose="02010600030101010101" charset="-122"/>
                <a:cs typeface="宋体" panose="02010600030101010101" charset="-122"/>
                <a:sym typeface="宋体" panose="02010600030101010101" charset="-122"/>
              </a:defRPr>
            </a:pPr>
          </a:p>
        </c:txPr>
      </c:legendEntry>
      <c:legendEntry>
        <c:idx val="2"/>
        <c:txPr>
          <a:bodyPr rot="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宋体" panose="02010600030101010101" charset="-122"/>
                <a:ea typeface="宋体" panose="02010600030101010101" charset="-122"/>
                <a:cs typeface="宋体" panose="02010600030101010101" charset="-122"/>
                <a:sym typeface="宋体" panose="02010600030101010101" charset="-122"/>
              </a:defRPr>
            </a:pPr>
          </a:p>
        </c:txPr>
      </c:legendEntry>
      <c:layout>
        <c:manualLayout>
          <c:xMode val="edge"/>
          <c:yMode val="edge"/>
          <c:x val="0.583421052631579"/>
          <c:y val="0.380324074074074"/>
        </c:manualLayout>
      </c:layout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宋体" panose="02010600030101010101" charset="-122"/>
              <a:ea typeface="宋体" panose="02010600030101010101" charset="-122"/>
              <a:cs typeface="宋体" panose="02010600030101010101" charset="-122"/>
              <a:sym typeface="宋体" panose="02010600030101010101" charset="-122"/>
            </a:defRPr>
          </a:pPr>
        </a:p>
      </c:txPr>
    </c:legend>
    <c:plotVisOnly val="1"/>
    <c:dispBlanksAs val="gap"/>
    <c:showDLblsOverMax val="0"/>
    <c:extLst>
      <c:ext uri="{0b15fc19-7d7d-44ad-8c2d-2c3a37ce22c3}">
        <chartProps xmlns="https://web.wps.cn/et/2018/main" chartId="{797f6dbe-beb2-4bbd-992d-a323662c02b8}"/>
      </c:ext>
    </c:extLst>
  </c:chart>
  <c:spPr>
    <a:solidFill>
      <a:schemeClr val="bg1"/>
    </a:solidFill>
    <a:ln w="12700" cap="flat" cmpd="sng" algn="ctr">
      <a:solidFill>
        <a:schemeClr val="bg1"/>
      </a:solidFill>
      <a:prstDash val="solid"/>
      <a:round/>
    </a:ln>
    <a:effectLst/>
  </c:spPr>
  <c:txPr>
    <a:bodyPr/>
    <a:lstStyle/>
    <a:p>
      <a:pPr>
        <a:defRPr lang="zh-CN" sz="900">
          <a:latin typeface="宋体" panose="02010600030101010101" charset="-122"/>
          <a:ea typeface="宋体" panose="02010600030101010101" charset="-122"/>
          <a:cs typeface="宋体" panose="02010600030101010101" charset="-122"/>
          <a:sym typeface="宋体" panose="02010600030101010101" charset="-122"/>
        </a:defRPr>
      </a:pPr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08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 sz="1080"/>
              <a:t>图</a:t>
            </a:r>
            <a:r>
              <a:rPr lang="en-US" altLang="zh-CN" sz="1080"/>
              <a:t>6 </a:t>
            </a:r>
            <a:r>
              <a:rPr lang="zh-CN" altLang="en-US" sz="1080"/>
              <a:t>不同制片压力对药物溶出度影响</a:t>
            </a:r>
            <a:endParaRPr lang="zh-CN" altLang="en-US" sz="1080"/>
          </a:p>
        </c:rich>
      </c:tx>
      <c:layout>
        <c:manualLayout>
          <c:xMode val="edge"/>
          <c:yMode val="edge"/>
          <c:x val="0.272039473684211"/>
          <c:y val="0.844907407407407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385"/>
          <c:y val="0.0458333333333333"/>
          <c:w val="0.636894736842105"/>
          <c:h val="0.639907407407407"/>
        </c:manualLayout>
      </c:layout>
      <c:lineChart>
        <c:grouping val="standard"/>
        <c:varyColors val="0"/>
        <c:ser>
          <c:idx val="0"/>
          <c:order val="0"/>
          <c:tx>
            <c:strRef>
              <c:f>'[新建 XLSX 工作表.xlsx]Sheet8'!$E$3</c:f>
              <c:strCache>
                <c:ptCount val="1"/>
                <c:pt idx="0">
                  <c:v>4～5kg/cm2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'[新建 XLSX 工作表.xlsx]Sheet8'!$F$2:$L$2</c:f>
              <c:numCache>
                <c:formatCode>General</c:formatCode>
                <c:ptCount val="7"/>
                <c:pt idx="0">
                  <c:v>0.5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</c:numCache>
            </c:numRef>
          </c:cat>
          <c:val>
            <c:numRef>
              <c:f>'[新建 XLSX 工作表.xlsx]Sheet8'!$F$3:$L$3</c:f>
              <c:numCache>
                <c:formatCode>General</c:formatCode>
                <c:ptCount val="7"/>
                <c:pt idx="0">
                  <c:v>14</c:v>
                </c:pt>
                <c:pt idx="1">
                  <c:v>40</c:v>
                </c:pt>
                <c:pt idx="2">
                  <c:v>49</c:v>
                </c:pt>
                <c:pt idx="3">
                  <c:v>62</c:v>
                </c:pt>
                <c:pt idx="4">
                  <c:v>74</c:v>
                </c:pt>
                <c:pt idx="5">
                  <c:v>88</c:v>
                </c:pt>
                <c:pt idx="6">
                  <c:v>96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'[新建 XLSX 工作表.xlsx]Sheet8'!$E$4</c:f>
              <c:strCache>
                <c:ptCount val="1"/>
                <c:pt idx="0">
                  <c:v>6～7kg/cm2</c:v>
                </c:pt>
              </c:strCache>
            </c:strRef>
          </c:tx>
          <c:spPr>
            <a:ln w="28575" cap="rnd">
              <a:solidFill>
                <a:srgbClr val="FF0000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'[新建 XLSX 工作表.xlsx]Sheet8'!$F$2:$L$2</c:f>
              <c:numCache>
                <c:formatCode>General</c:formatCode>
                <c:ptCount val="7"/>
                <c:pt idx="0">
                  <c:v>0.5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</c:numCache>
            </c:numRef>
          </c:cat>
          <c:val>
            <c:numRef>
              <c:f>'[新建 XLSX 工作表.xlsx]Sheet8'!$F$4:$L$4</c:f>
              <c:numCache>
                <c:formatCode>General</c:formatCode>
                <c:ptCount val="7"/>
                <c:pt idx="0">
                  <c:v>13</c:v>
                </c:pt>
                <c:pt idx="1">
                  <c:v>38</c:v>
                </c:pt>
                <c:pt idx="2">
                  <c:v>46</c:v>
                </c:pt>
                <c:pt idx="3">
                  <c:v>58</c:v>
                </c:pt>
                <c:pt idx="4">
                  <c:v>72</c:v>
                </c:pt>
                <c:pt idx="5">
                  <c:v>84</c:v>
                </c:pt>
                <c:pt idx="6">
                  <c:v>92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'[新建 XLSX 工作表.xlsx]Sheet8'!$E$5</c:f>
              <c:strCache>
                <c:ptCount val="1"/>
                <c:pt idx="0">
                  <c:v>8～9kg/cm2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'[新建 XLSX 工作表.xlsx]Sheet8'!$F$2:$L$2</c:f>
              <c:numCache>
                <c:formatCode>General</c:formatCode>
                <c:ptCount val="7"/>
                <c:pt idx="0">
                  <c:v>0.5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</c:numCache>
            </c:numRef>
          </c:cat>
          <c:val>
            <c:numRef>
              <c:f>'[新建 XLSX 工作表.xlsx]Sheet8'!$F$5:$L$5</c:f>
              <c:numCache>
                <c:formatCode>General</c:formatCode>
                <c:ptCount val="7"/>
                <c:pt idx="0">
                  <c:v>10</c:v>
                </c:pt>
                <c:pt idx="1">
                  <c:v>33</c:v>
                </c:pt>
                <c:pt idx="2">
                  <c:v>44</c:v>
                </c:pt>
                <c:pt idx="3">
                  <c:v>55</c:v>
                </c:pt>
                <c:pt idx="4">
                  <c:v>68</c:v>
                </c:pt>
                <c:pt idx="5">
                  <c:v>78</c:v>
                </c:pt>
                <c:pt idx="6">
                  <c:v>88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245190144"/>
        <c:axId val="246330432"/>
      </c:lineChart>
      <c:catAx>
        <c:axId val="245190144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 defTabSz="914400">
                  <a:defRPr lang="zh-CN"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900"/>
                  <a:t>t/h</a:t>
                </a:r>
                <a:endParaRPr lang="en-US" altLang="zh-CN" sz="900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in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246330432"/>
        <c:crosses val="autoZero"/>
        <c:auto val="1"/>
        <c:lblAlgn val="ctr"/>
        <c:lblOffset val="100"/>
        <c:noMultiLvlLbl val="0"/>
      </c:catAx>
      <c:valAx>
        <c:axId val="246330432"/>
        <c:scaling>
          <c:orientation val="minMax"/>
          <c:max val="100"/>
        </c:scaling>
        <c:delete val="0"/>
        <c:axPos val="l"/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900"/>
                  <a:t>Release/%</a:t>
                </a:r>
                <a:endParaRPr lang="en-US" altLang="zh-CN" sz="900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in"/>
        <c:minorTickMark val="none"/>
        <c:tickLblPos val="nextTo"/>
        <c:spPr>
          <a:noFill/>
          <a:ln w="12700" cmpd="sng">
            <a:solidFill>
              <a:schemeClr val="tx1"/>
            </a:solidFill>
            <a:prstDash val="solid"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245190144"/>
        <c:crosses val="autoZero"/>
        <c:crossBetween val="midCat"/>
        <c:majorUnit val="20"/>
      </c:valAx>
      <c:spPr>
        <a:noFill/>
        <a:ln>
          <a:noFill/>
        </a:ln>
        <a:effectLst/>
      </c:spPr>
    </c:plotArea>
    <c:legend>
      <c:legendPos val="r"/>
      <c:legendEntry>
        <c:idx val="0"/>
        <c:txPr>
          <a:bodyPr rot="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</c:legendEntry>
      <c:legendEntry>
        <c:idx val="1"/>
        <c:txPr>
          <a:bodyPr rot="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</c:legendEntry>
      <c:legendEntry>
        <c:idx val="2"/>
        <c:txPr>
          <a:bodyPr rot="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</c:legendEntry>
      <c:layout>
        <c:manualLayout>
          <c:xMode val="edge"/>
          <c:yMode val="edge"/>
          <c:x val="0.626710526315789"/>
          <c:y val="0.400347222222222"/>
        </c:manualLayout>
      </c:layout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  <c:extLst>
      <c:ext uri="{0b15fc19-7d7d-44ad-8c2d-2c3a37ce22c3}">
        <chartProps xmlns="https://web.wps.cn/et/2018/main" chartId="{7dd2c5c1-a48e-4e97-92a2-ce36aabff303}"/>
      </c:ext>
    </c:extLst>
  </c:chart>
  <c:spPr>
    <a:solidFill>
      <a:schemeClr val="bg1"/>
    </a:solidFill>
    <a:ln w="9525" cap="flat" cmpd="sng" algn="ctr">
      <a:solidFill>
        <a:schemeClr val="bg1"/>
      </a:solidFill>
      <a:round/>
    </a:ln>
    <a:effectLst/>
  </c:spPr>
  <c:txPr>
    <a:bodyPr/>
    <a:lstStyle/>
    <a:p>
      <a:pPr>
        <a:defRPr lang="zh-CN" sz="900"/>
      </a:pPr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08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 sz="1080"/>
              <a:t>图</a:t>
            </a:r>
            <a:r>
              <a:rPr lang="en-US" altLang="zh-CN" sz="1080"/>
              <a:t>7 </a:t>
            </a:r>
            <a:r>
              <a:rPr lang="zh-CN" altLang="en-US" sz="1080"/>
              <a:t>普通片与缓释片释放度对比</a:t>
            </a:r>
            <a:endParaRPr lang="zh-CN" altLang="en-US" sz="1080"/>
          </a:p>
        </c:rich>
      </c:tx>
      <c:layout>
        <c:manualLayout>
          <c:xMode val="edge"/>
          <c:yMode val="edge"/>
          <c:x val="0.325592105263158"/>
          <c:y val="0.85648148148148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37973684210526"/>
          <c:y val="0.0930555555555556"/>
          <c:w val="0.838342105263158"/>
          <c:h val="0.606805555555556"/>
        </c:manualLayout>
      </c:layout>
      <c:lineChart>
        <c:grouping val="standard"/>
        <c:varyColors val="0"/>
        <c:ser>
          <c:idx val="0"/>
          <c:order val="0"/>
          <c:tx>
            <c:strRef>
              <c:f>'[新建 XLSX 工作表.xlsx]Sheet7'!$C$4</c:f>
              <c:strCache>
                <c:ptCount val="1"/>
                <c:pt idx="0">
                  <c:v>缓释片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'[新建 XLSX 工作表.xlsx]Sheet7'!$D$3:$L$3</c:f>
              <c:numCache>
                <c:formatCode>General</c:formatCode>
                <c:ptCount val="9"/>
                <c:pt idx="0">
                  <c:v>0.083</c:v>
                </c:pt>
                <c:pt idx="1">
                  <c:v>0.5</c:v>
                </c:pt>
                <c:pt idx="2">
                  <c:v>1</c:v>
                </c:pt>
                <c:pt idx="3">
                  <c:v>2</c:v>
                </c:pt>
                <c:pt idx="4">
                  <c:v>4</c:v>
                </c:pt>
                <c:pt idx="5">
                  <c:v>6</c:v>
                </c:pt>
                <c:pt idx="6">
                  <c:v>8</c:v>
                </c:pt>
                <c:pt idx="7">
                  <c:v>10</c:v>
                </c:pt>
                <c:pt idx="8">
                  <c:v>12</c:v>
                </c:pt>
              </c:numCache>
            </c:numRef>
          </c:cat>
          <c:val>
            <c:numRef>
              <c:f>'[新建 XLSX 工作表.xlsx]Sheet7'!$D$4:$L$4</c:f>
              <c:numCache>
                <c:formatCode>General</c:formatCode>
                <c:ptCount val="9"/>
                <c:pt idx="0">
                  <c:v>9</c:v>
                </c:pt>
                <c:pt idx="1">
                  <c:v>89</c:v>
                </c:pt>
                <c:pt idx="2">
                  <c:v>97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'[新建 XLSX 工作表.xlsx]Sheet7'!$C$5</c:f>
              <c:strCache>
                <c:ptCount val="1"/>
                <c:pt idx="0">
                  <c:v>普通片</c:v>
                </c:pt>
              </c:strCache>
            </c:strRef>
          </c:tx>
          <c:spPr>
            <a:ln w="28575" cap="rnd">
              <a:solidFill>
                <a:srgbClr val="FF0000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'[新建 XLSX 工作表.xlsx]Sheet7'!$D$3:$L$3</c:f>
              <c:numCache>
                <c:formatCode>General</c:formatCode>
                <c:ptCount val="9"/>
                <c:pt idx="0">
                  <c:v>0.083</c:v>
                </c:pt>
                <c:pt idx="1">
                  <c:v>0.5</c:v>
                </c:pt>
                <c:pt idx="2">
                  <c:v>1</c:v>
                </c:pt>
                <c:pt idx="3">
                  <c:v>2</c:v>
                </c:pt>
                <c:pt idx="4">
                  <c:v>4</c:v>
                </c:pt>
                <c:pt idx="5">
                  <c:v>6</c:v>
                </c:pt>
                <c:pt idx="6">
                  <c:v>8</c:v>
                </c:pt>
                <c:pt idx="7">
                  <c:v>10</c:v>
                </c:pt>
                <c:pt idx="8">
                  <c:v>12</c:v>
                </c:pt>
              </c:numCache>
            </c:numRef>
          </c:cat>
          <c:val>
            <c:numRef>
              <c:f>'[新建 XLSX 工作表.xlsx]Sheet7'!$D$5:$L$5</c:f>
              <c:numCache>
                <c:formatCode>General</c:formatCode>
                <c:ptCount val="9"/>
                <c:pt idx="1">
                  <c:v>9</c:v>
                </c:pt>
                <c:pt idx="2">
                  <c:v>17</c:v>
                </c:pt>
                <c:pt idx="3">
                  <c:v>40</c:v>
                </c:pt>
                <c:pt idx="4">
                  <c:v>55</c:v>
                </c:pt>
                <c:pt idx="5">
                  <c:v>62</c:v>
                </c:pt>
                <c:pt idx="6">
                  <c:v>78</c:v>
                </c:pt>
                <c:pt idx="7">
                  <c:v>85</c:v>
                </c:pt>
                <c:pt idx="8">
                  <c:v>93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246906880"/>
        <c:axId val="246332160"/>
      </c:lineChart>
      <c:catAx>
        <c:axId val="246906880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 defTabSz="914400">
                  <a:defRPr lang="zh-CN"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900"/>
                  <a:t>t/h</a:t>
                </a:r>
                <a:endParaRPr lang="en-US" altLang="zh-CN" sz="900"/>
              </a:p>
            </c:rich>
          </c:tx>
          <c:layout>
            <c:manualLayout>
              <c:xMode val="edge"/>
              <c:yMode val="edge"/>
              <c:x val="0.558394736842105"/>
              <c:y val="0.779398148148148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0"/>
        <c:majorTickMark val="in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246332160"/>
        <c:crosses val="autoZero"/>
        <c:auto val="0"/>
        <c:lblAlgn val="ctr"/>
        <c:lblOffset val="100"/>
        <c:tickLblSkip val="1"/>
        <c:tickMarkSkip val="2"/>
        <c:noMultiLvlLbl val="0"/>
      </c:catAx>
      <c:valAx>
        <c:axId val="246332160"/>
        <c:scaling>
          <c:orientation val="minMax"/>
        </c:scaling>
        <c:delete val="0"/>
        <c:axPos val="l"/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900"/>
                  <a:t>Q %</a:t>
                </a:r>
                <a:endParaRPr lang="en-US" altLang="zh-CN" sz="900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in"/>
        <c:minorTickMark val="none"/>
        <c:tickLblPos val="low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24690688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egendEntry>
        <c:idx val="0"/>
        <c:txPr>
          <a:bodyPr rot="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</c:legendEntry>
      <c:legendEntry>
        <c:idx val="1"/>
        <c:txPr>
          <a:bodyPr rot="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</c:legendEntry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  <c:extLst>
      <c:ext uri="{0b15fc19-7d7d-44ad-8c2d-2c3a37ce22c3}">
        <chartProps xmlns="https://web.wps.cn/et/2018/main" chartId="{ab87ebb0-79c7-4380-ae4b-6d1f8d82dfd8}"/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lang="zh-CN" sz="900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bg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bg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bg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bg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ysClr val="windowText" lastClr="000000">
        <a:lumMod val="65000"/>
        <a:lumOff val="35000"/>
      </a:sysClr>
    </cs:fontRef>
    <cs:defRPr sz="1000" kern="1200"/>
  </cs:axisTitle>
  <cs:categoryAxis>
    <cs:lnRef idx="0"/>
    <cs:fillRef idx="0"/>
    <cs:effectRef idx="0"/>
    <cs:fontRef idx="minor">
      <a:sysClr val="windowText" lastClr="000000">
        <a:lumMod val="65000"/>
        <a:lumOff val="35000"/>
      </a:sysClr>
    </cs:fontRef>
    <cs:spPr>
      <a:ln w="9525" cap="flat" cmpd="sng" algn="ctr">
        <a:solidFill>
          <a:sysClr val="windowText" lastClr="000000">
            <a:lumMod val="15000"/>
            <a:lumOff val="85000"/>
          </a:sys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ysClr val="windowText" lastClr="000000"/>
    </cs:fontRef>
    <cs:spPr>
      <a:solidFill>
        <a:sysClr val="window" lastClr="FFFFFF"/>
      </a:solidFill>
      <a:ln w="9525" cap="flat" cmpd="sng" algn="ctr">
        <a:solidFill>
          <a:sysClr val="windowText" lastClr="000000">
            <a:lumMod val="15000"/>
            <a:lumOff val="85000"/>
          </a:sysClr>
        </a:solidFill>
        <a:round/>
      </a:ln>
    </cs:spPr>
    <cs:defRPr sz="1000" kern="1200"/>
  </cs:chartArea>
  <cs:dataLabel>
    <cs:lnRef idx="0"/>
    <cs:fillRef idx="0"/>
    <cs:effectRef idx="0"/>
    <cs:fontRef idx="minor">
      <a:sysClr val="windowText" lastClr="000000">
        <a:lumMod val="75000"/>
        <a:lumOff val="25000"/>
      </a:sysClr>
    </cs:fontRef>
    <cs:defRPr sz="1000" kern="1200"/>
  </cs:dataLabel>
  <cs:dataLabelCallout>
    <cs:lnRef idx="0"/>
    <cs:fillRef idx="0"/>
    <cs:effectRef idx="0"/>
    <cs:fontRef idx="minor">
      <a:sysClr val="windowText" lastClr="000000">
        <a:lumMod val="65000"/>
        <a:lumOff val="35000"/>
      </a:sysClr>
    </cs:fontRef>
    <cs:spPr>
      <a:solidFill>
        <a:sysClr val="window" lastClr="FFFFFF"/>
      </a:solidFill>
      <a:ln>
        <a:solidFill>
          <a:sysClr val="windowText" lastClr="000000">
            <a:lumMod val="25000"/>
            <a:lumOff val="75000"/>
          </a:sys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ysClr val="windowText" lastClr="000000"/>
    </cs:fontRef>
  </cs:dataPoint>
  <cs:dataPoint3D>
    <cs:lnRef idx="0"/>
    <cs:fillRef idx="1">
      <cs:styleClr val="auto"/>
    </cs:fillRef>
    <cs:effectRef idx="0"/>
    <cs:fontRef idx="minor">
      <a:sysClr val="windowText" lastClr="000000"/>
    </cs:fontRef>
  </cs:dataPoint3D>
  <cs:dataPointLine>
    <cs:lnRef idx="0">
      <cs:styleClr val="auto"/>
    </cs:lnRef>
    <cs:fillRef idx="0">
      <cs:styleClr val="auto"/>
    </cs:fillRef>
    <cs:effectRef idx="0"/>
    <cs:fontRef idx="minor">
      <a:sysClr val="windowText" lastClr="000000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ysClr val="windowText" lastClr="000000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ysClr val="windowText" lastClr="000000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ysClr val="windowText" lastClr="000000">
        <a:lumMod val="65000"/>
        <a:lumOff val="35000"/>
      </a:sysClr>
    </cs:fontRef>
    <cs:spPr>
      <a:noFill/>
      <a:ln w="9525" cap="flat" cmpd="sng" algn="ctr">
        <a:solidFill>
          <a:sysClr val="windowText" lastClr="000000">
            <a:lumMod val="15000"/>
            <a:lumOff val="85000"/>
          </a:sysClr>
        </a:solidFill>
        <a:round/>
      </a:ln>
    </cs:spPr>
    <cs:defRPr sz="900" kern="1200"/>
  </cs:dataTable>
  <cs:downBar>
    <cs:lnRef idx="0"/>
    <cs:fillRef idx="0"/>
    <cs:effectRef idx="0"/>
    <cs:fontRef idx="minor">
      <a:sysClr val="windowText" lastClr="000000"/>
    </cs:fontRef>
    <cs:spPr>
      <a:solidFill>
        <a:sysClr val="windowText" lastClr="000000">
          <a:lumMod val="65000"/>
          <a:lumOff val="35000"/>
        </a:sysClr>
      </a:solidFill>
      <a:ln w="9525">
        <a:solidFill>
          <a:sysClr val="windowText" lastClr="000000">
            <a:lumMod val="65000"/>
            <a:lumOff val="35000"/>
          </a:sysClr>
        </a:solidFill>
      </a:ln>
    </cs:spPr>
  </cs:downBar>
  <cs:dropLine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35000"/>
            <a:lumOff val="65000"/>
          </a:sysClr>
        </a:solidFill>
        <a:round/>
      </a:ln>
    </cs:spPr>
  </cs:dropLine>
  <cs:errorBar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65000"/>
            <a:lumOff val="35000"/>
          </a:sysClr>
        </a:solidFill>
        <a:round/>
      </a:ln>
    </cs:spPr>
  </cs:errorBar>
  <cs:floor>
    <cs:lnRef idx="0"/>
    <cs:fillRef idx="0"/>
    <cs:effectRef idx="0"/>
    <cs:fontRef idx="minor">
      <a:sysClr val="windowText" lastClr="000000"/>
    </cs:fontRef>
    <cs:spPr>
      <a:noFill/>
      <a:ln>
        <a:noFill/>
      </a:ln>
    </cs:spPr>
  </cs:floor>
  <cs:gridlineMajor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" lastClr="FFFFFF">
            <a:lumMod val="90200"/>
          </a:sysClr>
        </a:solidFill>
        <a:round/>
      </a:ln>
    </cs:spPr>
  </cs:gridlineMajor>
  <cs:gridlineMinor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5000"/>
            <a:lumOff val="95000"/>
          </a:sysClr>
        </a:solidFill>
        <a:round/>
      </a:ln>
    </cs:spPr>
  </cs:gridlineMinor>
  <cs:hiLoLine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75000"/>
            <a:lumOff val="25000"/>
          </a:sysClr>
        </a:solidFill>
        <a:round/>
      </a:ln>
    </cs:spPr>
  </cs:hiLoLine>
  <cs:leaderLine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35000"/>
            <a:lumOff val="65000"/>
          </a:sysClr>
        </a:solidFill>
        <a:round/>
      </a:ln>
    </cs:spPr>
  </cs:leaderLine>
  <cs:legend>
    <cs:lnRef idx="0"/>
    <cs:fillRef idx="0"/>
    <cs:effectRef idx="0"/>
    <cs:fontRef idx="minor">
      <a:sysClr val="windowText" lastClr="000000">
        <a:lumMod val="65000"/>
        <a:lumOff val="35000"/>
      </a:sysClr>
    </cs:fontRef>
    <cs:defRPr sz="900" kern="1200"/>
  </cs:legend>
  <cs:plotArea mods="allowNoFillOverride allowNoLineOverride">
    <cs:lnRef idx="0"/>
    <cs:fillRef idx="0"/>
    <cs:effectRef idx="0"/>
    <cs:fontRef idx="minor">
      <a:sysClr val="windowText" lastClr="000000"/>
    </cs:fontRef>
  </cs:plotArea>
  <cs:plotArea3D mods="allowNoFillOverride allowNoLineOverride">
    <cs:lnRef idx="0"/>
    <cs:fillRef idx="0"/>
    <cs:effectRef idx="0"/>
    <cs:fontRef idx="minor">
      <a:sysClr val="windowText" lastClr="000000"/>
    </cs:fontRef>
  </cs:plotArea3D>
  <cs:seriesAxis>
    <cs:lnRef idx="0"/>
    <cs:fillRef idx="0"/>
    <cs:effectRef idx="0"/>
    <cs:fontRef idx="minor">
      <a:sysClr val="windowText" lastClr="000000">
        <a:lumMod val="65000"/>
        <a:lumOff val="35000"/>
      </a:sysClr>
    </cs:fontRef>
    <cs:defRPr sz="900" kern="1200"/>
  </cs:seriesAxis>
  <cs:seriesLine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35000"/>
            <a:lumOff val="65000"/>
          </a:sysClr>
        </a:solidFill>
        <a:round/>
      </a:ln>
    </cs:spPr>
  </cs:seriesLine>
  <cs:title>
    <cs:lnRef idx="0"/>
    <cs:fillRef idx="0"/>
    <cs:effectRef idx="0"/>
    <cs:fontRef idx="minor">
      <a:sysClr val="windowText" lastClr="000000">
        <a:lumMod val="75000"/>
        <a:lumOff val="25000"/>
      </a:sysClr>
    </cs:fontRef>
    <cs:defRPr sz="1400" b="1" kern="1200" baseline="0"/>
  </cs:title>
  <cs:trendline>
    <cs:lnRef idx="0">
      <cs:styleClr val="auto"/>
    </cs:lnRef>
    <cs:fillRef idx="0"/>
    <cs:effectRef idx="0"/>
    <cs:fontRef idx="minor">
      <a:sysClr val="windowText" lastClr="000000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ysClr val="windowText" lastClr="000000">
        <a:lumMod val="65000"/>
        <a:lumOff val="35000"/>
      </a:sysClr>
    </cs:fontRef>
    <cs:defRPr sz="900" kern="1200"/>
  </cs:trendlineLabel>
  <cs:upBar>
    <cs:lnRef idx="0"/>
    <cs:fillRef idx="0"/>
    <cs:effectRef idx="0"/>
    <cs:fontRef idx="minor">
      <a:sysClr val="windowText" lastClr="000000"/>
    </cs:fontRef>
    <cs:spPr>
      <a:solidFill>
        <a:sysClr val="window" lastClr="FFFFFF"/>
      </a:solidFill>
      <a:ln w="9525">
        <a:solidFill>
          <a:sysClr val="windowText" lastClr="000000">
            <a:lumMod val="15000"/>
            <a:lumOff val="85000"/>
          </a:sysClr>
        </a:solidFill>
      </a:ln>
    </cs:spPr>
  </cs:upBar>
  <cs:valueAxis>
    <cs:lnRef idx="0"/>
    <cs:fillRef idx="0"/>
    <cs:effectRef idx="0"/>
    <cs:fontRef idx="minor">
      <a:sysClr val="windowText" lastClr="000000">
        <a:lumMod val="65000"/>
        <a:lumOff val="35000"/>
      </a:sysClr>
    </cs:fontRef>
    <cs:defRPr sz="900" kern="1200"/>
  </cs:valueAxis>
  <cs:wall>
    <cs:lnRef idx="0"/>
    <cs:fillRef idx="0"/>
    <cs:effectRef idx="0"/>
    <cs:fontRef idx="minor">
      <a:sysClr val="windowText" lastClr="000000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bg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bg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word/theme/themeOverride1.xml><?xml version="1.0" encoding="utf-8"?>
<a:themeOverride xmlns:a="http://schemas.openxmlformats.org/drawingml/2006/main">
  <a:clrScheme name="【8】">
    <a:dk1>
      <a:srgbClr val="000000"/>
    </a:dk1>
    <a:lt1>
      <a:srgbClr val="FFFFFF"/>
    </a:lt1>
    <a:dk2>
      <a:srgbClr val="0C0E1F"/>
    </a:dk2>
    <a:lt2>
      <a:srgbClr val="FEFFFF"/>
    </a:lt2>
    <a:accent1>
      <a:srgbClr val="3875FF"/>
    </a:accent1>
    <a:accent2>
      <a:srgbClr val="FCBE00"/>
    </a:accent2>
    <a:accent3>
      <a:srgbClr val="73A1FF"/>
    </a:accent3>
    <a:accent4>
      <a:srgbClr val="83D8FF"/>
    </a:accent4>
    <a:accent5>
      <a:srgbClr val="FC9400"/>
    </a:accent5>
    <a:accent6>
      <a:srgbClr val="0093F0"/>
    </a:accent6>
    <a:hlink>
      <a:srgbClr val="304FFE"/>
    </a:hlink>
    <a:folHlink>
      <a:srgbClr val="492067"/>
    </a:folHlink>
  </a:clrScheme>
  <a:fontScheme name="自定义 2">
    <a:majorFont>
      <a:latin typeface="微软雅黑"/>
      <a:ea typeface="微软雅黑"/>
      <a:cs typeface=""/>
    </a:majorFont>
    <a:minorFont>
      <a:latin typeface="微软雅黑"/>
      <a:ea typeface="微软雅黑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WPS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874CB"/>
    </a:accent1>
    <a:accent2>
      <a:srgbClr val="EE822F"/>
    </a:accent2>
    <a:accent3>
      <a:srgbClr val="F2BA02"/>
    </a:accent3>
    <a:accent4>
      <a:srgbClr val="75BD42"/>
    </a:accent4>
    <a:accent5>
      <a:srgbClr val="30C0B4"/>
    </a:accent5>
    <a:accent6>
      <a:srgbClr val="E54C5E"/>
    </a:accent6>
    <a:hlink>
      <a:srgbClr val="0026E5"/>
    </a:hlink>
    <a:folHlink>
      <a:srgbClr val="7E1FAD"/>
    </a:folHlink>
  </a:clrScheme>
  <a:fontScheme name="WPS">
    <a:majorFont>
      <a:latin typeface="Calibri Light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WPS">
    <a:fillStyleLst>
      <a:solidFill>
        <a:schemeClr val="phClr"/>
      </a:solidFill>
      <a:gradFill>
        <a:gsLst>
          <a:gs pos="0">
            <a:schemeClr val="phClr">
              <a:lumOff val="17500"/>
            </a:schemeClr>
          </a:gs>
          <a:gs pos="100000">
            <a:schemeClr val="phClr"/>
          </a:gs>
        </a:gsLst>
        <a:lin ang="2700000" scaled="0"/>
      </a:gradFill>
      <a:gradFill>
        <a:gsLst>
          <a:gs pos="0">
            <a:schemeClr val="phClr">
              <a:hueOff val="-2520000"/>
            </a:schemeClr>
          </a:gs>
          <a:gs pos="100000">
            <a:schemeClr val="phClr"/>
          </a:gs>
        </a:gsLst>
        <a:lin ang="2700000" scaled="0"/>
      </a:gradFill>
    </a:fillStyleLst>
    <a:lnStyleLst>
      <a:ln w="1270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2700" cap="flat" cmpd="sng" algn="ctr">
        <a:gradFill>
          <a:gsLst>
            <a:gs pos="0">
              <a:schemeClr val="phClr">
                <a:hueOff val="-4200000"/>
              </a:schemeClr>
            </a:gs>
            <a:gs pos="100000">
              <a:schemeClr val="phClr"/>
            </a:gs>
          </a:gsLst>
          <a:lin ang="2700000" scaled="1"/>
        </a:gradFill>
        <a:prstDash val="solid"/>
        <a:miter lim="800000"/>
      </a:ln>
    </a:lnStyleLst>
    <a:effectStyleLst>
      <a:effectStyle>
        <a:effectLst>
          <a:outerShdw blurRad="101600" dist="50800" dir="5400000" algn="ctr" rotWithShape="0">
            <a:schemeClr val="phClr">
              <a:alpha val="60000"/>
            </a:schemeClr>
          </a:outerShdw>
        </a:effectLst>
      </a:effectStyle>
      <a:effectStyle>
        <a:effectLst>
          <a:reflection stA="50000" endA="300" endPos="40000" dist="25400" dir="5400000" sy="-100000" algn="bl" rotWithShape="0"/>
        </a:effectLst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3365</Words>
  <Characters>4042</Characters>
  <Lines>8</Lines>
  <Paragraphs>8</Paragraphs>
  <TotalTime>18</TotalTime>
  <ScaleCrop>false</ScaleCrop>
  <LinksUpToDate>false</LinksUpToDate>
  <CharactersWithSpaces>4251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2023-11-25T14:51:00Z</dcterms:created>
  <dc:creator>Administrator</dc:creator>
  <cp:lastModifiedBy>闲云野鹤</cp:lastModifiedBy>
  <dcterms:modified xsi:type="dcterms:W3CDTF">2026-03-14T13:23:23Z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A88D74D805C94B688E9692164F2F6B7D_12</vt:lpwstr>
  </property>
  <property fmtid="{D5CDD505-2E9C-101B-9397-08002B2CF9AE}" pid="4" name="KSOTemplateDocerSaveRecord">
    <vt:lpwstr>eyJoZGlkIjoiN2ZhNGIyZWFlMjRiOTk4NWUwYWRiYjE0ZDkyMTEyMGUiLCJ1c2VySWQiOiI0NTcxNjU1MzcifQ==</vt:lpwstr>
  </property>
</Properties>
</file>