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C5C7F"/>
    <w:p w14:paraId="4934AC53"/>
    <w:p w14:paraId="48AAB2A2"/>
    <w:p w14:paraId="3326BB77"/>
    <w:p w14:paraId="32A79C3A"/>
    <w:p w14:paraId="0239329E"/>
    <w:p w14:paraId="2EF1410A"/>
    <w:p w14:paraId="10C3D84F">
      <w:pPr>
        <w:jc w:val="center"/>
        <w:rPr>
          <w:rFonts w:hint="eastAsia" w:ascii="宋体" w:hAnsi="宋体"/>
          <w:b/>
          <w:bCs/>
          <w:sz w:val="52"/>
          <w:szCs w:val="48"/>
        </w:rPr>
      </w:pPr>
      <w:r>
        <w:rPr>
          <w:rFonts w:hint="eastAsia" w:ascii="宋体" w:hAnsi="宋体"/>
          <w:b/>
          <w:bCs/>
          <w:sz w:val="52"/>
          <w:szCs w:val="48"/>
        </w:rPr>
        <w:t>制剂工艺条件对辛伐他汀缓释片</w:t>
      </w:r>
    </w:p>
    <w:p w14:paraId="559C1CE3">
      <w:pPr>
        <w:jc w:val="center"/>
        <w:rPr>
          <w:rFonts w:hint="eastAsia" w:ascii="宋体" w:hAnsi="宋体"/>
          <w:b/>
          <w:bCs/>
          <w:sz w:val="52"/>
          <w:szCs w:val="48"/>
        </w:rPr>
      </w:pPr>
      <w:r>
        <w:rPr>
          <w:rFonts w:hint="eastAsia" w:ascii="宋体" w:hAnsi="宋体"/>
          <w:b/>
          <w:bCs/>
          <w:sz w:val="52"/>
          <w:szCs w:val="48"/>
        </w:rPr>
        <w:t>释放度的影响研究</w:t>
      </w:r>
    </w:p>
    <w:p w14:paraId="2FAAA01D">
      <w:pPr>
        <w:jc w:val="center"/>
        <w:rPr>
          <w:rFonts w:hint="eastAsia" w:ascii="宋体" w:hAnsi="宋体"/>
          <w:b/>
          <w:bCs/>
          <w:sz w:val="52"/>
          <w:szCs w:val="48"/>
        </w:rPr>
      </w:pPr>
    </w:p>
    <w:p w14:paraId="57163F06">
      <w:pPr>
        <w:jc w:val="center"/>
        <w:rPr>
          <w:rFonts w:ascii="宋体" w:hAnsi="宋体"/>
          <w:b/>
          <w:bCs/>
          <w:sz w:val="80"/>
          <w:szCs w:val="80"/>
        </w:rPr>
      </w:pPr>
      <w:r>
        <w:rPr>
          <w:rFonts w:hint="eastAsia" w:ascii="宋体" w:hAnsi="宋体"/>
          <w:b/>
          <w:bCs/>
          <w:sz w:val="80"/>
          <w:szCs w:val="80"/>
        </w:rPr>
        <w:t>项目</w:t>
      </w:r>
      <w:r>
        <w:rPr>
          <w:rFonts w:hint="eastAsia" w:ascii="宋体" w:hAnsi="宋体"/>
          <w:b/>
          <w:bCs/>
          <w:sz w:val="80"/>
          <w:szCs w:val="80"/>
          <w:lang w:val="en-US" w:eastAsia="zh-CN"/>
        </w:rPr>
        <w:t>学习</w:t>
      </w:r>
      <w:r>
        <w:rPr>
          <w:rFonts w:hint="eastAsia" w:ascii="宋体" w:hAnsi="宋体"/>
          <w:b/>
          <w:bCs/>
          <w:sz w:val="80"/>
          <w:szCs w:val="80"/>
        </w:rPr>
        <w:t>开题报告</w:t>
      </w:r>
    </w:p>
    <w:p w14:paraId="2533EF2D"/>
    <w:p w14:paraId="207FF7CB"/>
    <w:p w14:paraId="4AE3EFFC"/>
    <w:p w14:paraId="23DF43C4"/>
    <w:p w14:paraId="36FF62FD"/>
    <w:p w14:paraId="6CDD3BA9"/>
    <w:p w14:paraId="76028E33"/>
    <w:p w14:paraId="39A3A952"/>
    <w:p w14:paraId="46C28DC9"/>
    <w:p w14:paraId="5D02CF5E"/>
    <w:p w14:paraId="0070612B"/>
    <w:p w14:paraId="2EDFE1F8">
      <w:pPr>
        <w:ind w:firstLine="643" w:firstLineChars="200"/>
        <w:rPr>
          <w:rFonts w:ascii="仿宋_GB2312" w:hAnsi="宋体" w:eastAsia="仿宋_GB2312"/>
          <w:bCs/>
          <w:sz w:val="28"/>
          <w:u w:val="single"/>
        </w:rPr>
      </w:pPr>
      <w:r>
        <w:rPr>
          <w:rFonts w:hint="eastAsia" w:ascii="仿宋_GB2312" w:hAnsi="宋体" w:eastAsia="仿宋_GB2312"/>
          <w:b/>
          <w:bCs/>
          <w:sz w:val="32"/>
        </w:rPr>
        <w:t>项目组成员：</w:t>
      </w:r>
      <w:r>
        <w:rPr>
          <w:rFonts w:hint="eastAsia" w:ascii="仿宋_GB2312" w:hAnsi="宋体" w:eastAsia="仿宋_GB2312"/>
          <w:b/>
          <w:bCs/>
          <w:sz w:val="32"/>
          <w:u w:val="single"/>
        </w:rPr>
        <w:t xml:space="preserve"> </w:t>
      </w:r>
      <w:r>
        <w:rPr>
          <w:rFonts w:hint="eastAsia" w:ascii="仿宋_GB2312" w:hAnsi="宋体" w:eastAsia="仿宋_GB2312"/>
          <w:b/>
          <w:bCs/>
          <w:sz w:val="32"/>
          <w:u w:val="single"/>
          <w:lang w:val="en-US" w:eastAsia="zh-CN"/>
        </w:rPr>
        <w:t xml:space="preserve">         牛一如</w:t>
      </w:r>
      <w:r>
        <w:rPr>
          <w:rFonts w:hint="eastAsia" w:ascii="仿宋_GB2312" w:hAnsi="宋体" w:eastAsia="仿宋_GB2312"/>
          <w:b/>
          <w:bCs/>
          <w:sz w:val="28"/>
          <w:u w:val="single"/>
        </w:rPr>
        <w:t xml:space="preserve">       </w:t>
      </w:r>
      <w:r>
        <w:rPr>
          <w:rFonts w:hint="eastAsia" w:ascii="仿宋_GB2312" w:hAnsi="宋体" w:eastAsia="仿宋_GB2312"/>
          <w:bCs/>
          <w:sz w:val="28"/>
          <w:u w:val="single"/>
        </w:rPr>
        <w:t xml:space="preserve">             </w:t>
      </w:r>
    </w:p>
    <w:p w14:paraId="26A41E30">
      <w:pPr>
        <w:ind w:firstLine="643" w:firstLineChars="200"/>
        <w:rPr>
          <w:rFonts w:ascii="仿宋_GB2312" w:hAnsi="宋体" w:eastAsia="仿宋_GB2312"/>
          <w:b/>
          <w:bCs/>
          <w:sz w:val="32"/>
          <w:u w:val="single"/>
        </w:rPr>
      </w:pPr>
      <w:r>
        <w:rPr>
          <w:rFonts w:hint="eastAsia" w:ascii="仿宋_GB2312" w:hAnsi="宋体" w:eastAsia="仿宋_GB2312"/>
          <w:b/>
          <w:bCs/>
          <w:sz w:val="32"/>
        </w:rPr>
        <w:t>指导教师：</w:t>
      </w:r>
      <w:r>
        <w:rPr>
          <w:rFonts w:hint="eastAsia" w:ascii="仿宋_GB2312" w:hAnsi="宋体" w:eastAsia="仿宋_GB2312"/>
          <w:b/>
          <w:bCs/>
          <w:sz w:val="32"/>
          <w:u w:val="single"/>
        </w:rPr>
        <w:t xml:space="preserve">   </w:t>
      </w:r>
      <w:r>
        <w:rPr>
          <w:rFonts w:hint="eastAsia" w:ascii="仿宋_GB2312" w:hAnsi="宋体" w:eastAsia="仿宋_GB2312"/>
          <w:b/>
          <w:bCs/>
          <w:sz w:val="32"/>
          <w:u w:val="single"/>
          <w:lang w:val="en-US" w:eastAsia="zh-CN"/>
        </w:rPr>
        <w:t xml:space="preserve">         </w:t>
      </w:r>
      <w:r>
        <w:rPr>
          <w:rFonts w:hint="eastAsia" w:ascii="仿宋_GB2312" w:hAnsi="宋体" w:eastAsia="仿宋_GB2312"/>
          <w:b/>
          <w:bCs/>
          <w:sz w:val="32"/>
          <w:u w:val="single"/>
        </w:rPr>
        <w:t xml:space="preserve">广玉兰  </w:t>
      </w:r>
      <w:r>
        <w:rPr>
          <w:rFonts w:ascii="仿宋_GB2312" w:hAnsi="宋体" w:eastAsia="仿宋_GB2312"/>
          <w:b/>
          <w:bCs/>
          <w:sz w:val="32"/>
          <w:u w:val="single"/>
        </w:rPr>
        <w:t xml:space="preserve">        </w:t>
      </w:r>
      <w:r>
        <w:rPr>
          <w:rFonts w:hint="eastAsia" w:ascii="仿宋_GB2312" w:hAnsi="宋体" w:eastAsia="仿宋_GB2312"/>
          <w:b/>
          <w:bCs/>
          <w:sz w:val="32"/>
          <w:u w:val="single"/>
        </w:rPr>
        <w:t xml:space="preserve">        </w:t>
      </w:r>
    </w:p>
    <w:p w14:paraId="54160CF8">
      <w:pPr>
        <w:ind w:firstLine="643" w:firstLineChars="200"/>
      </w:pPr>
      <w:r>
        <w:rPr>
          <w:rFonts w:hint="eastAsia" w:ascii="仿宋_GB2312" w:hAnsi="宋体" w:eastAsia="仿宋_GB2312"/>
          <w:b/>
          <w:bCs/>
          <w:sz w:val="32"/>
        </w:rPr>
        <w:t>所在学校：</w:t>
      </w:r>
      <w:r>
        <w:rPr>
          <w:rFonts w:hint="eastAsia" w:ascii="仿宋_GB2312" w:hAnsi="宋体" w:eastAsia="仿宋_GB2312"/>
          <w:b/>
          <w:bCs/>
          <w:sz w:val="32"/>
          <w:u w:val="single"/>
        </w:rPr>
        <w:t xml:space="preserve">       徐州</w:t>
      </w:r>
      <w:r>
        <w:rPr>
          <w:rFonts w:hint="eastAsia" w:ascii="仿宋_GB2312" w:hAnsi="宋体" w:eastAsia="仿宋_GB2312"/>
          <w:b/>
          <w:bCs/>
          <w:sz w:val="32"/>
          <w:u w:val="single"/>
          <w:lang w:val="en-US" w:eastAsia="zh-CN"/>
        </w:rPr>
        <w:t>市</w:t>
      </w:r>
      <w:r>
        <w:rPr>
          <w:rFonts w:hint="eastAsia" w:ascii="仿宋_GB2312" w:hAnsi="宋体" w:eastAsia="仿宋_GB2312"/>
          <w:b/>
          <w:bCs/>
          <w:sz w:val="32"/>
          <w:u w:val="single"/>
        </w:rPr>
        <w:t xml:space="preserve">矿大实验学校        </w:t>
      </w:r>
      <w:r>
        <w:rPr>
          <w:rFonts w:hint="eastAsia" w:ascii="仿宋_GB2312" w:hAnsi="宋体" w:eastAsia="仿宋_GB2312"/>
          <w:b/>
          <w:bCs/>
          <w:sz w:val="32"/>
          <w:u w:val="single"/>
          <w:lang w:val="en-US" w:eastAsia="zh-CN"/>
        </w:rPr>
        <w:t xml:space="preserve"> </w:t>
      </w:r>
      <w:bookmarkStart w:id="0" w:name="_GoBack"/>
      <w:bookmarkEnd w:id="0"/>
      <w:r>
        <w:rPr>
          <w:rFonts w:hint="eastAsia" w:ascii="仿宋_GB2312" w:hAnsi="宋体" w:eastAsia="仿宋_GB2312"/>
          <w:b/>
          <w:bCs/>
          <w:sz w:val="32"/>
          <w:u w:val="single"/>
        </w:rPr>
        <w:t xml:space="preserve">  </w:t>
      </w:r>
    </w:p>
    <w:p w14:paraId="2257A62B"/>
    <w:p w14:paraId="42DBECA8"/>
    <w:p w14:paraId="2C90DD8B"/>
    <w:p w14:paraId="15A7284E"/>
    <w:p w14:paraId="21680C24">
      <w:pPr>
        <w:jc w:val="center"/>
      </w:pPr>
      <w:r>
        <w:rPr>
          <w:rFonts w:hint="eastAsia" w:ascii="仿宋_GB2312" w:hAnsi="宋体" w:eastAsia="仿宋_GB2312"/>
          <w:b/>
          <w:bCs/>
          <w:sz w:val="32"/>
          <w:u w:val="none"/>
        </w:rPr>
        <w:t>20</w:t>
      </w:r>
      <w:r>
        <w:rPr>
          <w:rFonts w:ascii="仿宋_GB2312" w:hAnsi="宋体" w:eastAsia="仿宋_GB2312"/>
          <w:b/>
          <w:bCs/>
          <w:sz w:val="32"/>
          <w:u w:val="none"/>
        </w:rPr>
        <w:t>2</w:t>
      </w:r>
      <w:r>
        <w:rPr>
          <w:rFonts w:hint="eastAsia" w:ascii="仿宋_GB2312" w:hAnsi="宋体" w:eastAsia="仿宋_GB2312"/>
          <w:b/>
          <w:bCs/>
          <w:sz w:val="32"/>
          <w:u w:val="none"/>
          <w:lang w:val="en-US" w:eastAsia="zh-CN"/>
        </w:rPr>
        <w:t>4</w:t>
      </w:r>
      <w:r>
        <w:rPr>
          <w:rFonts w:hint="eastAsia" w:ascii="仿宋_GB2312" w:hAnsi="宋体" w:eastAsia="仿宋_GB2312"/>
          <w:b/>
          <w:bCs/>
          <w:sz w:val="32"/>
          <w:u w:val="none"/>
        </w:rPr>
        <w:t>年</w:t>
      </w:r>
      <w:r>
        <w:rPr>
          <w:rFonts w:hint="eastAsia" w:ascii="仿宋_GB2312" w:hAnsi="宋体" w:eastAsia="仿宋_GB2312"/>
          <w:b/>
          <w:bCs/>
          <w:sz w:val="32"/>
          <w:u w:val="none"/>
          <w:lang w:val="en-US" w:eastAsia="zh-CN"/>
        </w:rPr>
        <w:t>10</w:t>
      </w:r>
      <w:r>
        <w:rPr>
          <w:rFonts w:hint="eastAsia" w:ascii="仿宋_GB2312" w:hAnsi="宋体" w:eastAsia="仿宋_GB2312"/>
          <w:b/>
          <w:bCs/>
          <w:sz w:val="32"/>
          <w:u w:val="none"/>
        </w:rPr>
        <w:t>月</w:t>
      </w:r>
      <w:r>
        <w:rPr>
          <w:rFonts w:hint="eastAsia" w:ascii="仿宋_GB2312" w:hAnsi="宋体" w:eastAsia="仿宋_GB2312"/>
          <w:b/>
          <w:bCs/>
          <w:sz w:val="32"/>
          <w:u w:val="none"/>
          <w:lang w:val="en-US" w:eastAsia="zh-CN"/>
        </w:rPr>
        <w:t>10</w:t>
      </w:r>
      <w:r>
        <w:rPr>
          <w:rFonts w:hint="eastAsia" w:ascii="仿宋_GB2312" w:hAnsi="宋体" w:eastAsia="仿宋_GB2312"/>
          <w:b/>
          <w:bCs/>
          <w:sz w:val="32"/>
          <w:u w:val="none"/>
        </w:rPr>
        <w:t>日</w:t>
      </w:r>
    </w:p>
    <w:p w14:paraId="2E6B482F"/>
    <w:p w14:paraId="572B7059">
      <w:pPr>
        <w:pStyle w:val="9"/>
        <w:numPr>
          <w:ilvl w:val="0"/>
          <w:numId w:val="0"/>
        </w:numPr>
        <w:ind w:leftChars="0"/>
        <w:rPr>
          <w:rFonts w:hint="eastAsia" w:ascii="仿宋_GB2312" w:eastAsia="仿宋_GB2312"/>
          <w:b/>
          <w:bCs/>
          <w:sz w:val="28"/>
        </w:rPr>
      </w:pPr>
      <w:r>
        <w:rPr>
          <w:rFonts w:hint="eastAsia" w:ascii="仿宋_GB2312" w:eastAsia="仿宋_GB2312"/>
          <w:b/>
          <w:bCs/>
          <w:sz w:val="28"/>
          <w:lang w:val="en-US" w:eastAsia="zh-CN"/>
        </w:rPr>
        <w:t>一、</w:t>
      </w:r>
      <w:r>
        <w:rPr>
          <w:rFonts w:ascii="仿宋_GB2312" w:eastAsia="仿宋_GB2312"/>
          <w:b/>
          <w:bCs/>
          <w:sz w:val="28"/>
        </w:rPr>
        <w:t>项目的背景和意义</w:t>
      </w:r>
    </w:p>
    <w:p w14:paraId="428BA21D">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心脑血管疾病是当前威胁人类健康的主要疾病之一</w:t>
      </w:r>
      <w:r>
        <w:rPr>
          <w:rFonts w:hint="eastAsia" w:cs="Times New Roman"/>
          <w:color w:val="000000"/>
          <w:sz w:val="24"/>
          <w:szCs w:val="24"/>
          <w:lang w:eastAsia="zh-CN"/>
        </w:rPr>
        <w:t>，</w:t>
      </w:r>
      <w:r>
        <w:rPr>
          <w:rFonts w:ascii="Times New Roman" w:hAnsi="Times New Roman" w:eastAsia="宋体" w:cs="Times New Roman"/>
          <w:color w:val="000000"/>
          <w:sz w:val="24"/>
          <w:szCs w:val="24"/>
        </w:rPr>
        <w:t>其死亡率亦居各种疾病之首。随着人民生活水平的提高和人口的老龄化</w:t>
      </w:r>
      <w:r>
        <w:rPr>
          <w:rFonts w:hint="eastAsia" w:cs="Times New Roman"/>
          <w:color w:val="000000"/>
          <w:sz w:val="24"/>
          <w:szCs w:val="24"/>
          <w:lang w:eastAsia="zh-CN"/>
        </w:rPr>
        <w:t>，</w:t>
      </w:r>
      <w:r>
        <w:rPr>
          <w:rFonts w:ascii="Times New Roman" w:hAnsi="Times New Roman" w:eastAsia="宋体" w:cs="Times New Roman"/>
          <w:color w:val="000000"/>
          <w:sz w:val="24"/>
          <w:szCs w:val="24"/>
        </w:rPr>
        <w:t>心脑血管疾病的发病率与死亡率日趋增加</w:t>
      </w:r>
      <w:r>
        <w:rPr>
          <w:rFonts w:hint="eastAsia" w:cs="Times New Roman"/>
          <w:color w:val="000000"/>
          <w:sz w:val="24"/>
          <w:szCs w:val="24"/>
          <w:lang w:eastAsia="zh-CN"/>
        </w:rPr>
        <w:t>，</w:t>
      </w:r>
      <w:r>
        <w:rPr>
          <w:rFonts w:ascii="Times New Roman" w:hAnsi="Times New Roman" w:eastAsia="宋体" w:cs="Times New Roman"/>
          <w:color w:val="000000"/>
          <w:sz w:val="24"/>
          <w:szCs w:val="24"/>
        </w:rPr>
        <w:t>成为一个突出的社会公共卫生问题。心脑血管疾病发病最主要的原因为动脉粥样硬化</w:t>
      </w:r>
      <w:r>
        <w:rPr>
          <w:rFonts w:hint="eastAsia" w:cs="Times New Roman"/>
          <w:color w:val="000000"/>
          <w:sz w:val="24"/>
          <w:szCs w:val="24"/>
          <w:lang w:eastAsia="zh-CN"/>
        </w:rPr>
        <w:t>，</w:t>
      </w:r>
      <w:r>
        <w:rPr>
          <w:rFonts w:ascii="Times New Roman" w:hAnsi="Times New Roman" w:eastAsia="宋体" w:cs="Times New Roman"/>
          <w:color w:val="000000"/>
          <w:sz w:val="24"/>
          <w:szCs w:val="24"/>
        </w:rPr>
        <w:t>而高脂血症是动脉粥样硬化的病理基础</w:t>
      </w:r>
      <w:r>
        <w:rPr>
          <w:rFonts w:hint="eastAsia" w:cs="Times New Roman"/>
          <w:color w:val="000000"/>
          <w:sz w:val="24"/>
          <w:szCs w:val="24"/>
          <w:lang w:eastAsia="zh-CN"/>
        </w:rPr>
        <w:t>，</w:t>
      </w:r>
      <w:r>
        <w:rPr>
          <w:rFonts w:ascii="Times New Roman" w:hAnsi="Times New Roman" w:eastAsia="宋体" w:cs="Times New Roman"/>
          <w:color w:val="000000"/>
          <w:sz w:val="24"/>
          <w:szCs w:val="24"/>
        </w:rPr>
        <w:t>因此预防及治疗心脑血管疾病最重要的是降低血脂</w:t>
      </w:r>
      <w:r>
        <w:rPr>
          <w:rFonts w:hint="eastAsia" w:cs="Times New Roman"/>
          <w:color w:val="000000"/>
          <w:sz w:val="24"/>
          <w:szCs w:val="24"/>
          <w:lang w:eastAsia="zh-CN"/>
        </w:rPr>
        <w:t>，</w:t>
      </w:r>
      <w:r>
        <w:rPr>
          <w:rFonts w:ascii="Times New Roman" w:hAnsi="Times New Roman" w:eastAsia="宋体" w:cs="Times New Roman"/>
          <w:color w:val="000000"/>
          <w:sz w:val="24"/>
          <w:szCs w:val="24"/>
        </w:rPr>
        <w:t>预防动脉粥样硬化。</w:t>
      </w:r>
    </w:p>
    <w:p w14:paraId="748DE184">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他汀类药物是一类有效降低总胆固醇和低密度脂蛋白的药物</w:t>
      </w:r>
      <w:r>
        <w:rPr>
          <w:rFonts w:hint="eastAsia" w:cs="Times New Roman"/>
          <w:color w:val="000000"/>
          <w:sz w:val="24"/>
          <w:szCs w:val="24"/>
          <w:lang w:eastAsia="zh-CN"/>
        </w:rPr>
        <w:t>，</w:t>
      </w:r>
      <w:r>
        <w:rPr>
          <w:rFonts w:ascii="Times New Roman" w:hAnsi="Times New Roman" w:eastAsia="宋体" w:cs="Times New Roman"/>
          <w:color w:val="000000"/>
          <w:sz w:val="24"/>
          <w:szCs w:val="24"/>
        </w:rPr>
        <w:t>现广泛应用于临床治疗血脂素乱。随着临床研究的进一步深入</w:t>
      </w:r>
      <w:r>
        <w:rPr>
          <w:rFonts w:hint="eastAsia" w:cs="Times New Roman"/>
          <w:color w:val="000000"/>
          <w:sz w:val="24"/>
          <w:szCs w:val="24"/>
          <w:lang w:eastAsia="zh-CN"/>
        </w:rPr>
        <w:t>，</w:t>
      </w:r>
      <w:r>
        <w:rPr>
          <w:rFonts w:ascii="Times New Roman" w:hAnsi="Times New Roman" w:eastAsia="宋体" w:cs="Times New Roman"/>
          <w:color w:val="000000"/>
          <w:sz w:val="24"/>
          <w:szCs w:val="24"/>
        </w:rPr>
        <w:t>发现他汀类药物不仅具有调脂作用</w:t>
      </w:r>
      <w:r>
        <w:rPr>
          <w:rFonts w:hint="eastAsia" w:cs="Times New Roman"/>
          <w:color w:val="000000"/>
          <w:sz w:val="24"/>
          <w:szCs w:val="24"/>
          <w:lang w:eastAsia="zh-CN"/>
        </w:rPr>
        <w:t>，</w:t>
      </w:r>
      <w:r>
        <w:rPr>
          <w:rFonts w:ascii="Times New Roman" w:hAnsi="Times New Roman" w:eastAsia="宋体" w:cs="Times New Roman"/>
          <w:color w:val="000000"/>
          <w:sz w:val="24"/>
          <w:szCs w:val="24"/>
        </w:rPr>
        <w:t>还具有许多非调脂作用</w:t>
      </w:r>
      <w:r>
        <w:rPr>
          <w:rFonts w:hint="eastAsia" w:cs="Times New Roman"/>
          <w:color w:val="000000"/>
          <w:sz w:val="24"/>
          <w:szCs w:val="24"/>
          <w:lang w:eastAsia="zh-CN"/>
        </w:rPr>
        <w:t>，</w:t>
      </w:r>
      <w:r>
        <w:rPr>
          <w:rFonts w:ascii="Times New Roman" w:hAnsi="Times New Roman" w:eastAsia="宋体" w:cs="Times New Roman"/>
          <w:color w:val="000000"/>
          <w:sz w:val="24"/>
          <w:szCs w:val="24"/>
        </w:rPr>
        <w:t>如对血管平滑肌细胞的增殖抑制作用、细胞迁移的抑制作用和诱导细胞凋亡。已有明确的研究表明他汀类药物具有不依赖血脂而改善血管内皮的作用。随着对他汀类药物作用机制的深入研究</w:t>
      </w:r>
      <w:r>
        <w:rPr>
          <w:rFonts w:hint="eastAsia" w:cs="Times New Roman"/>
          <w:color w:val="000000"/>
          <w:sz w:val="24"/>
          <w:szCs w:val="24"/>
          <w:lang w:eastAsia="zh-CN"/>
        </w:rPr>
        <w:t>，</w:t>
      </w:r>
      <w:r>
        <w:rPr>
          <w:rFonts w:ascii="Times New Roman" w:hAnsi="Times New Roman" w:eastAsia="宋体" w:cs="Times New Roman"/>
          <w:color w:val="000000"/>
          <w:sz w:val="24"/>
          <w:szCs w:val="24"/>
        </w:rPr>
        <w:t>必将为其在临床心脑血管疾病方面的应用开拓更广阔的前景。</w:t>
      </w:r>
    </w:p>
    <w:p w14:paraId="1BFE6955">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缓控释给药系统是通过适宜的方法延长药物在体内的溶解、释放、吸收等过程</w:t>
      </w:r>
      <w:r>
        <w:rPr>
          <w:rFonts w:hint="eastAsia" w:cs="Times New Roman"/>
          <w:color w:val="000000"/>
          <w:sz w:val="24"/>
          <w:szCs w:val="24"/>
          <w:lang w:eastAsia="zh-CN"/>
        </w:rPr>
        <w:t>，</w:t>
      </w:r>
      <w:r>
        <w:rPr>
          <w:rFonts w:ascii="Times New Roman" w:hAnsi="Times New Roman" w:eastAsia="宋体" w:cs="Times New Roman"/>
          <w:color w:val="000000"/>
          <w:sz w:val="24"/>
          <w:szCs w:val="24"/>
        </w:rPr>
        <w:t>达到降低血浆药物浓度波动</w:t>
      </w:r>
      <w:r>
        <w:rPr>
          <w:rFonts w:hint="eastAsia" w:cs="Times New Roman"/>
          <w:color w:val="000000"/>
          <w:sz w:val="24"/>
          <w:szCs w:val="24"/>
          <w:lang w:eastAsia="zh-CN"/>
        </w:rPr>
        <w:t>，</w:t>
      </w:r>
      <w:r>
        <w:rPr>
          <w:rFonts w:ascii="Times New Roman" w:hAnsi="Times New Roman" w:eastAsia="宋体" w:cs="Times New Roman"/>
          <w:color w:val="000000"/>
          <w:sz w:val="24"/>
          <w:szCs w:val="24"/>
        </w:rPr>
        <w:t>减少给药次数</w:t>
      </w:r>
      <w:r>
        <w:rPr>
          <w:rFonts w:hint="eastAsia" w:cs="Times New Roman"/>
          <w:color w:val="000000"/>
          <w:sz w:val="24"/>
          <w:szCs w:val="24"/>
          <w:lang w:eastAsia="zh-CN"/>
        </w:rPr>
        <w:t>，</w:t>
      </w:r>
      <w:r>
        <w:rPr>
          <w:rFonts w:ascii="Times New Roman" w:hAnsi="Times New Roman" w:eastAsia="宋体" w:cs="Times New Roman"/>
          <w:color w:val="000000"/>
          <w:sz w:val="24"/>
          <w:szCs w:val="24"/>
        </w:rPr>
        <w:t>提高药物疗效</w:t>
      </w:r>
      <w:r>
        <w:rPr>
          <w:rFonts w:hint="eastAsia" w:cs="Times New Roman"/>
          <w:color w:val="000000"/>
          <w:sz w:val="24"/>
          <w:szCs w:val="24"/>
          <w:lang w:eastAsia="zh-CN"/>
        </w:rPr>
        <w:t>，</w:t>
      </w:r>
      <w:r>
        <w:rPr>
          <w:rFonts w:ascii="Times New Roman" w:hAnsi="Times New Roman" w:eastAsia="宋体" w:cs="Times New Roman"/>
          <w:color w:val="000000"/>
          <w:sz w:val="24"/>
          <w:szCs w:val="24"/>
        </w:rPr>
        <w:t>降低不良反应的目的</w:t>
      </w:r>
      <w:r>
        <w:rPr>
          <w:rFonts w:hint="eastAsia" w:cs="Times New Roman"/>
          <w:color w:val="000000"/>
          <w:sz w:val="24"/>
          <w:szCs w:val="24"/>
          <w:lang w:eastAsia="zh-CN"/>
        </w:rPr>
        <w:t>，</w:t>
      </w:r>
      <w:r>
        <w:rPr>
          <w:rFonts w:ascii="Times New Roman" w:hAnsi="Times New Roman" w:eastAsia="宋体" w:cs="Times New Roman"/>
          <w:color w:val="000000"/>
          <w:sz w:val="24"/>
          <w:szCs w:val="24"/>
        </w:rPr>
        <w:t>口服缓控释制剂是当今医药工业发展的重要方向。</w:t>
      </w:r>
    </w:p>
    <w:p w14:paraId="44B066F1">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研究开发他汀类缓控释制剂对防治心脑血管疾病，保障人民群众的健康具有非常紧迫和现实的意义。本</w:t>
      </w:r>
      <w:r>
        <w:rPr>
          <w:rFonts w:hint="eastAsia" w:cs="Times New Roman"/>
          <w:color w:val="000000"/>
          <w:sz w:val="24"/>
          <w:szCs w:val="24"/>
          <w:lang w:val="en-US" w:eastAsia="zh-CN"/>
        </w:rPr>
        <w:t>项目</w:t>
      </w:r>
      <w:r>
        <w:rPr>
          <w:rFonts w:ascii="Times New Roman" w:hAnsi="Times New Roman" w:eastAsia="宋体" w:cs="Times New Roman"/>
          <w:color w:val="000000"/>
          <w:sz w:val="24"/>
          <w:szCs w:val="24"/>
        </w:rPr>
        <w:t>就是选择新型他汀类药物的代表——辛伐他汀，尝试将其制备为缓释片，以其体外释放度作为验证指标，摸索、总结制剂工艺条件对该制剂释放度的影响规律，优化制剂处方、确定制剂工艺条件。</w:t>
      </w:r>
    </w:p>
    <w:p w14:paraId="01960E3F">
      <w:pPr>
        <w:pStyle w:val="9"/>
        <w:numPr>
          <w:ilvl w:val="0"/>
          <w:numId w:val="0"/>
        </w:numPr>
        <w:ind w:leftChars="0"/>
        <w:rPr>
          <w:rFonts w:hint="eastAsia" w:ascii="仿宋_GB2312" w:eastAsia="仿宋_GB2312"/>
          <w:b/>
          <w:bCs/>
          <w:sz w:val="28"/>
        </w:rPr>
      </w:pPr>
      <w:r>
        <w:rPr>
          <w:rFonts w:hint="eastAsia" w:ascii="仿宋_GB2312" w:eastAsia="仿宋_GB2312"/>
          <w:b/>
          <w:bCs/>
          <w:sz w:val="28"/>
          <w:lang w:val="en-US" w:eastAsia="zh-CN"/>
        </w:rPr>
        <w:t>二、</w:t>
      </w:r>
      <w:r>
        <w:rPr>
          <w:rFonts w:ascii="仿宋_GB2312" w:eastAsia="仿宋_GB2312"/>
          <w:b/>
          <w:bCs/>
          <w:sz w:val="28"/>
        </w:rPr>
        <w:t>相关研究的基本原理</w:t>
      </w:r>
    </w:p>
    <w:p w14:paraId="7F84B09F">
      <w:pPr>
        <w:pStyle w:val="4"/>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辛伐他汀，中文别名：西伐斯汀、新伐他汀、司伐他汀等，英文名称：simvastatin</w:t>
      </w:r>
      <w:r>
        <w:rPr>
          <w:rFonts w:hint="eastAsia" w:cs="Times New Roman"/>
          <w:color w:val="000000"/>
          <w:sz w:val="24"/>
          <w:szCs w:val="24"/>
          <w:lang w:eastAsia="zh-CN"/>
        </w:rPr>
        <w:t>，</w:t>
      </w:r>
      <w:r>
        <w:rPr>
          <w:rFonts w:ascii="Times New Roman" w:hAnsi="Times New Roman" w:eastAsia="宋体" w:cs="Times New Roman"/>
          <w:color w:val="000000"/>
          <w:sz w:val="24"/>
          <w:szCs w:val="24"/>
        </w:rPr>
        <w:t>中文化学名称为：2，2-二甲基丁酸（4R，6R）-6-[2[(1S</w:t>
      </w:r>
      <w:r>
        <w:rPr>
          <w:rFonts w:hint="eastAsia" w:cs="Times New Roman"/>
          <w:color w:val="000000"/>
          <w:sz w:val="24"/>
          <w:szCs w:val="24"/>
          <w:lang w:eastAsia="zh-CN"/>
        </w:rPr>
        <w:t>，</w:t>
      </w:r>
      <w:r>
        <w:rPr>
          <w:rFonts w:ascii="Times New Roman" w:hAnsi="Times New Roman" w:eastAsia="宋体" w:cs="Times New Roman"/>
          <w:color w:val="000000"/>
          <w:sz w:val="24"/>
          <w:szCs w:val="24"/>
        </w:rPr>
        <w:t>2S，6R</w:t>
      </w:r>
      <w:r>
        <w:rPr>
          <w:rFonts w:hint="eastAsia" w:cs="Times New Roman"/>
          <w:color w:val="000000"/>
          <w:sz w:val="24"/>
          <w:szCs w:val="24"/>
          <w:lang w:eastAsia="zh-CN"/>
        </w:rPr>
        <w:t>，</w:t>
      </w:r>
      <w:r>
        <w:rPr>
          <w:rFonts w:ascii="Times New Roman" w:hAnsi="Times New Roman" w:eastAsia="宋体" w:cs="Times New Roman"/>
          <w:color w:val="000000"/>
          <w:sz w:val="24"/>
          <w:szCs w:val="24"/>
        </w:rPr>
        <w:t>8S，8aR)-1，2，6，7，8，8a-六氢-8-羟基-2，6-二甲基-1-萘基]乙基]四氢-4-羟基-2H-吡喃-2-酮-8-酯。其化学结构式见下图，分子式：C</w:t>
      </w:r>
      <w:r>
        <w:rPr>
          <w:rFonts w:ascii="Times New Roman" w:hAnsi="Times New Roman" w:eastAsia="宋体" w:cs="Times New Roman"/>
          <w:color w:val="000000"/>
          <w:sz w:val="24"/>
          <w:szCs w:val="24"/>
          <w:vertAlign w:val="subscript"/>
        </w:rPr>
        <w:t>25</w:t>
      </w:r>
      <w:r>
        <w:rPr>
          <w:rFonts w:ascii="Times New Roman" w:hAnsi="Times New Roman" w:eastAsia="宋体" w:cs="Times New Roman"/>
          <w:color w:val="000000"/>
          <w:sz w:val="24"/>
          <w:szCs w:val="24"/>
        </w:rPr>
        <w:t>H</w:t>
      </w:r>
      <w:r>
        <w:rPr>
          <w:rFonts w:ascii="Times New Roman" w:hAnsi="Times New Roman" w:eastAsia="宋体" w:cs="Times New Roman"/>
          <w:color w:val="000000"/>
          <w:sz w:val="24"/>
          <w:szCs w:val="24"/>
          <w:vertAlign w:val="subscript"/>
        </w:rPr>
        <w:t>38</w:t>
      </w:r>
      <w:r>
        <w:rPr>
          <w:rFonts w:ascii="Times New Roman" w:hAnsi="Times New Roman" w:eastAsia="宋体" w:cs="Times New Roman"/>
          <w:color w:val="000000"/>
          <w:sz w:val="24"/>
          <w:szCs w:val="24"/>
        </w:rPr>
        <w:t>O</w:t>
      </w:r>
      <w:r>
        <w:rPr>
          <w:rFonts w:ascii="Times New Roman" w:hAnsi="Times New Roman" w:eastAsia="宋体" w:cs="Times New Roman"/>
          <w:color w:val="000000"/>
          <w:sz w:val="24"/>
          <w:szCs w:val="24"/>
          <w:vertAlign w:val="subscript"/>
        </w:rPr>
        <w:t>5</w:t>
      </w:r>
      <w:r>
        <w:rPr>
          <w:rFonts w:ascii="Times New Roman" w:hAnsi="Times New Roman" w:eastAsia="宋体" w:cs="Times New Roman"/>
          <w:color w:val="000000"/>
          <w:sz w:val="24"/>
          <w:szCs w:val="24"/>
        </w:rPr>
        <w:t>，分子量：418.57。</w:t>
      </w:r>
    </w:p>
    <w:p w14:paraId="78EFAA3D">
      <w:pPr>
        <w:spacing w:line="360" w:lineRule="auto"/>
        <w:ind w:firstLine="420" w:firstLineChars="200"/>
        <w:jc w:val="center"/>
        <w:rPr>
          <w:rFonts w:ascii="宋体" w:hAnsi="宋体"/>
          <w:color w:val="000000"/>
          <w:kern w:val="0"/>
          <w:sz w:val="24"/>
        </w:rPr>
      </w:pPr>
      <w:r>
        <w:drawing>
          <wp:inline distT="0" distB="0" distL="114300" distR="114300">
            <wp:extent cx="2446020" cy="1846580"/>
            <wp:effectExtent l="0" t="0" r="5080" b="7620"/>
            <wp:docPr id="1" name="图片 1" descr="https://bkimg.cdn.bcebos.com/pic/ae51f3deb48f8c54a4ba91c538292df5e1fe7fea?x-bce-process=image/watermark,image_d2F0ZXIvYmFpa2U3Mg==,g_7,xp_5,yp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bkimg.cdn.bcebos.com/pic/ae51f3deb48f8c54a4ba91c538292df5e1fe7fea?x-bce-process=image/watermark,image_d2F0ZXIvYmFpa2U3Mg==,g_7,xp_5,yp_5"/>
                    <pic:cNvPicPr>
                      <a:picLocks noChangeAspect="1"/>
                    </pic:cNvPicPr>
                  </pic:nvPicPr>
                  <pic:blipFill>
                    <a:blip r:embed="rId4"/>
                    <a:stretch>
                      <a:fillRect/>
                    </a:stretch>
                  </pic:blipFill>
                  <pic:spPr>
                    <a:xfrm>
                      <a:off x="0" y="0"/>
                      <a:ext cx="2446020" cy="1846580"/>
                    </a:xfrm>
                    <a:prstGeom prst="rect">
                      <a:avLst/>
                    </a:prstGeom>
                    <a:noFill/>
                    <a:ln>
                      <a:noFill/>
                    </a:ln>
                  </pic:spPr>
                </pic:pic>
              </a:graphicData>
            </a:graphic>
          </wp:inline>
        </w:drawing>
      </w:r>
    </w:p>
    <w:p w14:paraId="4C0FAB83">
      <w:pPr>
        <w:spacing w:line="360" w:lineRule="auto"/>
        <w:ind w:firstLine="480" w:firstLineChars="200"/>
        <w:jc w:val="left"/>
        <w:rPr>
          <w:rFonts w:ascii="宋体" w:hAnsi="宋体"/>
          <w:color w:val="000000"/>
          <w:kern w:val="0"/>
          <w:sz w:val="24"/>
        </w:rPr>
      </w:pPr>
    </w:p>
    <w:p w14:paraId="407C2143">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辛伐他汀是由土曲霉内提炼而得，最早是由默克药厂所开发，并于1992年开始进入医疗用途</w:t>
      </w:r>
      <w:r>
        <w:rPr>
          <w:rFonts w:hint="eastAsia" w:cs="Times New Roman"/>
          <w:color w:val="000000"/>
          <w:sz w:val="24"/>
          <w:szCs w:val="24"/>
          <w:lang w:eastAsia="zh-CN"/>
        </w:rPr>
        <w:t>，</w:t>
      </w:r>
      <w:r>
        <w:rPr>
          <w:rFonts w:ascii="Times New Roman" w:hAnsi="Times New Roman" w:eastAsia="宋体" w:cs="Times New Roman"/>
          <w:color w:val="000000"/>
          <w:sz w:val="24"/>
          <w:szCs w:val="24"/>
        </w:rPr>
        <w:t>常见商品名“Zocor”。该药列名于世界卫生组织基本药物清单，2009年辛伐他汀入选《国家基本药物目录》，属于基础医疗体系必备药物之一。作为一种口服降血脂药物，辛伐他汀属于3-羟基-3-甲基戊二酰辅酶A 还原酶抑制剂，能抑制体内胆固醇的合成，降低血浆中胆固醇浓度，同时降低体内低密度脂蛋白和三酰甘油水平。此外，辛伐他汀能升高高密度脂蛋白胆固醇(HDL-C)的浓度和降低血浆甘油三酯(TG)。这些均可以导致总胆固醇/HDL-C及LDL-C/HDL-C的降低。</w:t>
      </w:r>
    </w:p>
    <w:p w14:paraId="6B95661D">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缓控释制剂常用的技术有</w:t>
      </w:r>
      <w:r>
        <w:rPr>
          <w:rFonts w:hint="eastAsia" w:cs="Times New Roman"/>
          <w:color w:val="000000"/>
          <w:sz w:val="24"/>
          <w:szCs w:val="24"/>
          <w:lang w:eastAsia="zh-CN"/>
        </w:rPr>
        <w:t>：</w:t>
      </w:r>
      <w:r>
        <w:rPr>
          <w:rFonts w:ascii="Times New Roman" w:hAnsi="Times New Roman" w:eastAsia="宋体" w:cs="Times New Roman"/>
          <w:color w:val="000000"/>
          <w:sz w:val="24"/>
          <w:szCs w:val="24"/>
        </w:rPr>
        <w:t>膜控型缓释制剂、骨架型缓释制剂和渗透泵型控释制剂。此三种类型口服缓控释制剂各具优缺点</w:t>
      </w:r>
      <w:r>
        <w:rPr>
          <w:rFonts w:hint="eastAsia" w:cs="Times New Roman"/>
          <w:color w:val="000000"/>
          <w:sz w:val="24"/>
          <w:szCs w:val="24"/>
          <w:lang w:eastAsia="zh-CN"/>
        </w:rPr>
        <w:t>：</w:t>
      </w:r>
      <w:r>
        <w:rPr>
          <w:rFonts w:ascii="Times New Roman" w:hAnsi="Times New Roman" w:eastAsia="宋体" w:cs="Times New Roman"/>
          <w:color w:val="000000"/>
          <w:sz w:val="24"/>
          <w:szCs w:val="24"/>
        </w:rPr>
        <w:t>膜控型缓释制剂主要包括膜控缓释片、膜控缓释微丸等</w:t>
      </w:r>
      <w:r>
        <w:rPr>
          <w:rFonts w:hint="eastAsia" w:cs="Times New Roman"/>
          <w:color w:val="000000"/>
          <w:sz w:val="24"/>
          <w:szCs w:val="24"/>
          <w:lang w:eastAsia="zh-CN"/>
        </w:rPr>
        <w:t>，</w:t>
      </w:r>
      <w:r>
        <w:rPr>
          <w:rFonts w:ascii="Times New Roman" w:hAnsi="Times New Roman" w:eastAsia="宋体" w:cs="Times New Roman"/>
          <w:color w:val="000000"/>
          <w:sz w:val="24"/>
          <w:szCs w:val="24"/>
        </w:rPr>
        <w:t>该类控释制剂有重现性好、药物释放在相当大的比例范围内会呈现出零级释放的特征</w:t>
      </w:r>
      <w:r>
        <w:rPr>
          <w:rFonts w:hint="eastAsia" w:cs="Times New Roman"/>
          <w:color w:val="000000"/>
          <w:sz w:val="24"/>
          <w:szCs w:val="24"/>
          <w:lang w:eastAsia="zh-CN"/>
        </w:rPr>
        <w:t>，</w:t>
      </w:r>
      <w:r>
        <w:rPr>
          <w:rFonts w:ascii="Times New Roman" w:hAnsi="Times New Roman" w:eastAsia="宋体" w:cs="Times New Roman"/>
          <w:color w:val="000000"/>
          <w:sz w:val="24"/>
          <w:szCs w:val="24"/>
        </w:rPr>
        <w:t>但其最大的缺点是膜控型单元释药体系的安全性较差</w:t>
      </w:r>
      <w:r>
        <w:rPr>
          <w:rFonts w:hint="eastAsia" w:cs="Times New Roman"/>
          <w:color w:val="000000"/>
          <w:sz w:val="24"/>
          <w:szCs w:val="24"/>
          <w:lang w:eastAsia="zh-CN"/>
        </w:rPr>
        <w:t>，</w:t>
      </w:r>
      <w:r>
        <w:rPr>
          <w:rFonts w:ascii="Times New Roman" w:hAnsi="Times New Roman" w:eastAsia="宋体" w:cs="Times New Roman"/>
          <w:color w:val="000000"/>
          <w:sz w:val="24"/>
          <w:szCs w:val="24"/>
        </w:rPr>
        <w:t>如在运输、贮存等后续加工过程中</w:t>
      </w:r>
      <w:r>
        <w:rPr>
          <w:rFonts w:hint="eastAsia" w:cs="Times New Roman"/>
          <w:color w:val="000000"/>
          <w:sz w:val="24"/>
          <w:szCs w:val="24"/>
          <w:lang w:eastAsia="zh-CN"/>
        </w:rPr>
        <w:t>，</w:t>
      </w:r>
      <w:r>
        <w:rPr>
          <w:rFonts w:ascii="Times New Roman" w:hAnsi="Times New Roman" w:eastAsia="宋体" w:cs="Times New Roman"/>
          <w:color w:val="000000"/>
          <w:sz w:val="24"/>
          <w:szCs w:val="24"/>
        </w:rPr>
        <w:t>控释膜轻微的破裂或衣膜在贮存过程中理化性质的改变</w:t>
      </w:r>
      <w:r>
        <w:rPr>
          <w:rFonts w:hint="eastAsia" w:cs="Times New Roman"/>
          <w:color w:val="000000"/>
          <w:sz w:val="24"/>
          <w:szCs w:val="24"/>
          <w:lang w:eastAsia="zh-CN"/>
        </w:rPr>
        <w:t>，</w:t>
      </w:r>
      <w:r>
        <w:rPr>
          <w:rFonts w:ascii="Times New Roman" w:hAnsi="Times New Roman" w:eastAsia="宋体" w:cs="Times New Roman"/>
          <w:color w:val="000000"/>
          <w:sz w:val="24"/>
          <w:szCs w:val="24"/>
        </w:rPr>
        <w:t>均会造成服药后的安全问题。渗透泵制剂亦能达到药物的零级释放</w:t>
      </w:r>
      <w:r>
        <w:rPr>
          <w:rFonts w:hint="eastAsia" w:cs="Times New Roman"/>
          <w:color w:val="000000"/>
          <w:sz w:val="24"/>
          <w:szCs w:val="24"/>
          <w:lang w:eastAsia="zh-CN"/>
        </w:rPr>
        <w:t>，</w:t>
      </w:r>
      <w:r>
        <w:rPr>
          <w:rFonts w:ascii="Times New Roman" w:hAnsi="Times New Roman" w:eastAsia="宋体" w:cs="Times New Roman"/>
          <w:color w:val="000000"/>
          <w:sz w:val="24"/>
          <w:szCs w:val="24"/>
        </w:rPr>
        <w:t>缺点同膜控制剂</w:t>
      </w:r>
      <w:r>
        <w:rPr>
          <w:rFonts w:hint="eastAsia" w:cs="Times New Roman"/>
          <w:color w:val="000000"/>
          <w:sz w:val="24"/>
          <w:szCs w:val="24"/>
          <w:lang w:eastAsia="zh-CN"/>
        </w:rPr>
        <w:t>，</w:t>
      </w:r>
      <w:r>
        <w:rPr>
          <w:rFonts w:ascii="Times New Roman" w:hAnsi="Times New Roman" w:eastAsia="宋体" w:cs="Times New Roman"/>
          <w:color w:val="000000"/>
          <w:sz w:val="24"/>
          <w:szCs w:val="24"/>
        </w:rPr>
        <w:t>衣膜容易在储存和运输中轻微破裂</w:t>
      </w:r>
      <w:r>
        <w:rPr>
          <w:rFonts w:hint="eastAsia" w:cs="Times New Roman"/>
          <w:color w:val="000000"/>
          <w:sz w:val="24"/>
          <w:szCs w:val="24"/>
          <w:lang w:eastAsia="zh-CN"/>
        </w:rPr>
        <w:t>，</w:t>
      </w:r>
      <w:r>
        <w:rPr>
          <w:rFonts w:ascii="Times New Roman" w:hAnsi="Times New Roman" w:eastAsia="宋体" w:cs="Times New Roman"/>
          <w:color w:val="000000"/>
          <w:sz w:val="24"/>
          <w:szCs w:val="24"/>
        </w:rPr>
        <w:t>造成药物在体内的</w:t>
      </w:r>
      <w:r>
        <w:rPr>
          <w:rFonts w:hint="eastAsia" w:cs="Times New Roman"/>
          <w:color w:val="000000"/>
          <w:sz w:val="24"/>
          <w:szCs w:val="24"/>
          <w:lang w:eastAsia="zh-CN"/>
        </w:rPr>
        <w:t>“</w:t>
      </w:r>
      <w:r>
        <w:rPr>
          <w:rFonts w:ascii="Times New Roman" w:hAnsi="Times New Roman" w:eastAsia="宋体" w:cs="Times New Roman"/>
          <w:color w:val="000000"/>
          <w:sz w:val="24"/>
          <w:szCs w:val="24"/>
        </w:rPr>
        <w:t>倾泻</w:t>
      </w:r>
      <w:r>
        <w:rPr>
          <w:rFonts w:hint="eastAsia" w:cs="Times New Roman"/>
          <w:color w:val="000000"/>
          <w:sz w:val="24"/>
          <w:szCs w:val="24"/>
          <w:lang w:eastAsia="zh-CN"/>
        </w:rPr>
        <w:t>”</w:t>
      </w:r>
      <w:r>
        <w:rPr>
          <w:rFonts w:ascii="Times New Roman" w:hAnsi="Times New Roman" w:eastAsia="宋体" w:cs="Times New Roman"/>
          <w:color w:val="000000"/>
          <w:sz w:val="24"/>
          <w:szCs w:val="24"/>
        </w:rPr>
        <w:t>。骨架型缓释制剂机械强度大</w:t>
      </w:r>
      <w:r>
        <w:rPr>
          <w:rFonts w:hint="eastAsia" w:cs="Times New Roman"/>
          <w:color w:val="000000"/>
          <w:sz w:val="24"/>
          <w:szCs w:val="24"/>
          <w:lang w:eastAsia="zh-CN"/>
        </w:rPr>
        <w:t>，</w:t>
      </w:r>
      <w:r>
        <w:rPr>
          <w:rFonts w:ascii="Times New Roman" w:hAnsi="Times New Roman" w:eastAsia="宋体" w:cs="Times New Roman"/>
          <w:color w:val="000000"/>
          <w:sz w:val="24"/>
          <w:szCs w:val="24"/>
        </w:rPr>
        <w:t>不易破损</w:t>
      </w:r>
      <w:r>
        <w:rPr>
          <w:rFonts w:hint="eastAsia" w:cs="Times New Roman"/>
          <w:color w:val="000000"/>
          <w:sz w:val="24"/>
          <w:szCs w:val="24"/>
          <w:lang w:eastAsia="zh-CN"/>
        </w:rPr>
        <w:t>，</w:t>
      </w:r>
      <w:r>
        <w:rPr>
          <w:rFonts w:ascii="Times New Roman" w:hAnsi="Times New Roman" w:eastAsia="宋体" w:cs="Times New Roman"/>
          <w:color w:val="000000"/>
          <w:sz w:val="24"/>
          <w:szCs w:val="24"/>
        </w:rPr>
        <w:t>即使有一定程度的破损</w:t>
      </w:r>
      <w:r>
        <w:rPr>
          <w:rFonts w:hint="eastAsia" w:cs="Times New Roman"/>
          <w:color w:val="000000"/>
          <w:sz w:val="24"/>
          <w:szCs w:val="24"/>
          <w:lang w:eastAsia="zh-CN"/>
        </w:rPr>
        <w:t>，</w:t>
      </w:r>
      <w:r>
        <w:rPr>
          <w:rFonts w:ascii="Times New Roman" w:hAnsi="Times New Roman" w:eastAsia="宋体" w:cs="Times New Roman"/>
          <w:color w:val="000000"/>
          <w:sz w:val="24"/>
          <w:szCs w:val="24"/>
        </w:rPr>
        <w:t>药物释放亦不会有很大的影响</w:t>
      </w:r>
      <w:r>
        <w:rPr>
          <w:rFonts w:hint="eastAsia" w:cs="Times New Roman"/>
          <w:color w:val="000000"/>
          <w:sz w:val="24"/>
          <w:szCs w:val="24"/>
          <w:lang w:eastAsia="zh-CN"/>
        </w:rPr>
        <w:t>，</w:t>
      </w:r>
      <w:r>
        <w:rPr>
          <w:rFonts w:ascii="Times New Roman" w:hAnsi="Times New Roman" w:eastAsia="宋体" w:cs="Times New Roman"/>
          <w:color w:val="000000"/>
          <w:sz w:val="24"/>
          <w:szCs w:val="24"/>
        </w:rPr>
        <w:t>故安全性较高。</w:t>
      </w:r>
    </w:p>
    <w:p w14:paraId="37CC1E88">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骨架片是药物与一种或多种惰性骨架材料以及其它辅料</w:t>
      </w:r>
      <w:r>
        <w:rPr>
          <w:rFonts w:hint="eastAsia" w:cs="Times New Roman"/>
          <w:color w:val="000000"/>
          <w:sz w:val="24"/>
          <w:szCs w:val="24"/>
          <w:lang w:eastAsia="zh-CN"/>
        </w:rPr>
        <w:t>，</w:t>
      </w:r>
      <w:r>
        <w:rPr>
          <w:rFonts w:ascii="Times New Roman" w:hAnsi="Times New Roman" w:eastAsia="宋体" w:cs="Times New Roman"/>
          <w:color w:val="000000"/>
          <w:sz w:val="24"/>
          <w:szCs w:val="24"/>
        </w:rPr>
        <w:t>通过制片工艺而成型的片状固体制剂。根据药物的理化性质、动力学和药效学参数及人体消化道生理变化因素</w:t>
      </w:r>
      <w:r>
        <w:rPr>
          <w:rFonts w:hint="eastAsia" w:cs="Times New Roman"/>
          <w:color w:val="000000"/>
          <w:sz w:val="24"/>
          <w:szCs w:val="24"/>
          <w:lang w:eastAsia="zh-CN"/>
        </w:rPr>
        <w:t>，</w:t>
      </w:r>
      <w:r>
        <w:rPr>
          <w:rFonts w:ascii="Times New Roman" w:hAnsi="Times New Roman" w:eastAsia="宋体" w:cs="Times New Roman"/>
          <w:color w:val="000000"/>
          <w:sz w:val="24"/>
          <w:szCs w:val="24"/>
        </w:rPr>
        <w:t>可选择和调节适宜的骨架材料和制备工艺</w:t>
      </w:r>
      <w:r>
        <w:rPr>
          <w:rFonts w:hint="eastAsia" w:cs="Times New Roman"/>
          <w:color w:val="000000"/>
          <w:sz w:val="24"/>
          <w:szCs w:val="24"/>
          <w:lang w:eastAsia="zh-CN"/>
        </w:rPr>
        <w:t>，</w:t>
      </w:r>
      <w:r>
        <w:rPr>
          <w:rFonts w:ascii="Times New Roman" w:hAnsi="Times New Roman" w:eastAsia="宋体" w:cs="Times New Roman"/>
          <w:color w:val="000000"/>
          <w:sz w:val="24"/>
          <w:szCs w:val="24"/>
        </w:rPr>
        <w:t>比较容易达到所需质控指标并有较好的重现性。根据所使用的骨架材料性质的不同骨架片可分为</w:t>
      </w:r>
      <w:r>
        <w:rPr>
          <w:rFonts w:hint="eastAsia" w:cs="Times New Roman"/>
          <w:color w:val="000000"/>
          <w:sz w:val="24"/>
          <w:szCs w:val="24"/>
          <w:lang w:eastAsia="zh-CN"/>
        </w:rPr>
        <w:t>：</w:t>
      </w:r>
      <w:r>
        <w:rPr>
          <w:rFonts w:ascii="Times New Roman" w:hAnsi="Times New Roman" w:eastAsia="宋体" w:cs="Times New Roman"/>
          <w:color w:val="000000"/>
          <w:sz w:val="24"/>
          <w:szCs w:val="24"/>
        </w:rPr>
        <w:t>不溶性骨架片、亲水凝胶骨架片和生物溶蚀骨架片。亲水凝胶骨架片是骨架型缓释制剂中最常用的一种剂型</w:t>
      </w:r>
      <w:r>
        <w:rPr>
          <w:rFonts w:hint="eastAsia" w:cs="Times New Roman"/>
          <w:color w:val="000000"/>
          <w:sz w:val="24"/>
          <w:szCs w:val="24"/>
          <w:lang w:eastAsia="zh-CN"/>
        </w:rPr>
        <w:t>，</w:t>
      </w:r>
      <w:r>
        <w:rPr>
          <w:rFonts w:ascii="Times New Roman" w:hAnsi="Times New Roman" w:eastAsia="宋体" w:cs="Times New Roman"/>
          <w:color w:val="000000"/>
          <w:sz w:val="24"/>
          <w:szCs w:val="24"/>
        </w:rPr>
        <w:t>亲水凝胶遇水性介质后</w:t>
      </w:r>
      <w:r>
        <w:rPr>
          <w:rFonts w:hint="eastAsia" w:cs="Times New Roman"/>
          <w:color w:val="000000"/>
          <w:sz w:val="24"/>
          <w:szCs w:val="24"/>
          <w:lang w:eastAsia="zh-CN"/>
        </w:rPr>
        <w:t>，</w:t>
      </w:r>
      <w:r>
        <w:rPr>
          <w:rFonts w:ascii="Times New Roman" w:hAnsi="Times New Roman" w:eastAsia="宋体" w:cs="Times New Roman"/>
          <w:color w:val="000000"/>
          <w:sz w:val="24"/>
          <w:szCs w:val="24"/>
        </w:rPr>
        <w:t>首先在表面形成凝胶层</w:t>
      </w:r>
      <w:r>
        <w:rPr>
          <w:rFonts w:hint="eastAsia" w:cs="Times New Roman"/>
          <w:color w:val="000000"/>
          <w:sz w:val="24"/>
          <w:szCs w:val="24"/>
          <w:lang w:eastAsia="zh-CN"/>
        </w:rPr>
        <w:t>，</w:t>
      </w:r>
      <w:r>
        <w:rPr>
          <w:rFonts w:ascii="Times New Roman" w:hAnsi="Times New Roman" w:eastAsia="宋体" w:cs="Times New Roman"/>
          <w:color w:val="000000"/>
          <w:sz w:val="24"/>
          <w:szCs w:val="24"/>
        </w:rPr>
        <w:t>表面的药物向介质中扩散</w:t>
      </w:r>
      <w:r>
        <w:rPr>
          <w:rFonts w:hint="eastAsia" w:cs="Times New Roman"/>
          <w:color w:val="000000"/>
          <w:sz w:val="24"/>
          <w:szCs w:val="24"/>
          <w:lang w:eastAsia="zh-CN"/>
        </w:rPr>
        <w:t>：</w:t>
      </w:r>
      <w:r>
        <w:rPr>
          <w:rFonts w:ascii="Times New Roman" w:hAnsi="Times New Roman" w:eastAsia="宋体" w:cs="Times New Roman"/>
          <w:color w:val="000000"/>
          <w:sz w:val="24"/>
          <w:szCs w:val="24"/>
        </w:rPr>
        <w:t>凝胶层继续水化</w:t>
      </w:r>
      <w:r>
        <w:rPr>
          <w:rFonts w:hint="eastAsia" w:cs="Times New Roman"/>
          <w:color w:val="000000"/>
          <w:sz w:val="24"/>
          <w:szCs w:val="24"/>
          <w:lang w:eastAsia="zh-CN"/>
        </w:rPr>
        <w:t>，</w:t>
      </w:r>
      <w:r>
        <w:rPr>
          <w:rFonts w:ascii="Times New Roman" w:hAnsi="Times New Roman" w:eastAsia="宋体" w:cs="Times New Roman"/>
          <w:color w:val="000000"/>
          <w:sz w:val="24"/>
          <w:szCs w:val="24"/>
        </w:rPr>
        <w:t>骨架溶胀</w:t>
      </w:r>
      <w:r>
        <w:rPr>
          <w:rFonts w:hint="eastAsia" w:cs="Times New Roman"/>
          <w:color w:val="000000"/>
          <w:sz w:val="24"/>
          <w:szCs w:val="24"/>
          <w:lang w:eastAsia="zh-CN"/>
        </w:rPr>
        <w:t>，</w:t>
      </w:r>
      <w:r>
        <w:rPr>
          <w:rFonts w:ascii="Times New Roman" w:hAnsi="Times New Roman" w:eastAsia="宋体" w:cs="Times New Roman"/>
          <w:color w:val="000000"/>
          <w:sz w:val="24"/>
          <w:szCs w:val="24"/>
        </w:rPr>
        <w:t>凝胶层增厚延缓药物的释放</w:t>
      </w:r>
      <w:r>
        <w:rPr>
          <w:rFonts w:hint="eastAsia" w:cs="Times New Roman"/>
          <w:color w:val="000000"/>
          <w:sz w:val="24"/>
          <w:szCs w:val="24"/>
          <w:lang w:eastAsia="zh-CN"/>
        </w:rPr>
        <w:t>，</w:t>
      </w:r>
      <w:r>
        <w:rPr>
          <w:rFonts w:ascii="Times New Roman" w:hAnsi="Times New Roman" w:eastAsia="宋体" w:cs="Times New Roman"/>
          <w:color w:val="000000"/>
          <w:sz w:val="24"/>
          <w:szCs w:val="24"/>
        </w:rPr>
        <w:t>同时骨架自身不断溶蚀</w:t>
      </w:r>
      <w:r>
        <w:rPr>
          <w:rFonts w:hint="eastAsia" w:cs="Times New Roman"/>
          <w:color w:val="000000"/>
          <w:sz w:val="24"/>
          <w:szCs w:val="24"/>
          <w:lang w:eastAsia="zh-CN"/>
        </w:rPr>
        <w:t>，</w:t>
      </w:r>
      <w:r>
        <w:rPr>
          <w:rFonts w:ascii="Times New Roman" w:hAnsi="Times New Roman" w:eastAsia="宋体" w:cs="Times New Roman"/>
          <w:color w:val="000000"/>
          <w:sz w:val="24"/>
          <w:szCs w:val="24"/>
        </w:rPr>
        <w:t>水分向片芯渗透直至骨架完全溶蚀。药物主要通过扩散或(和骨架溶蚀方式释药。相对于其他类型的缓控释制剂</w:t>
      </w:r>
      <w:r>
        <w:rPr>
          <w:rFonts w:hint="eastAsia" w:cs="Times New Roman"/>
          <w:color w:val="000000"/>
          <w:sz w:val="24"/>
          <w:szCs w:val="24"/>
          <w:lang w:eastAsia="zh-CN"/>
        </w:rPr>
        <w:t>，</w:t>
      </w:r>
      <w:r>
        <w:rPr>
          <w:rFonts w:ascii="Times New Roman" w:hAnsi="Times New Roman" w:eastAsia="宋体" w:cs="Times New Roman"/>
          <w:color w:val="000000"/>
          <w:sz w:val="24"/>
          <w:szCs w:val="24"/>
        </w:rPr>
        <w:t>亲水凝胶骨架片有很多优势</w:t>
      </w:r>
      <w:r>
        <w:rPr>
          <w:rFonts w:hint="eastAsia" w:cs="Times New Roman"/>
          <w:color w:val="000000"/>
          <w:sz w:val="24"/>
          <w:szCs w:val="24"/>
          <w:lang w:eastAsia="zh-CN"/>
        </w:rPr>
        <w:t>，</w:t>
      </w:r>
      <w:r>
        <w:rPr>
          <w:rFonts w:ascii="Times New Roman" w:hAnsi="Times New Roman" w:eastAsia="宋体" w:cs="Times New Roman"/>
          <w:color w:val="000000"/>
          <w:sz w:val="24"/>
          <w:szCs w:val="24"/>
        </w:rPr>
        <w:t>骨架片中的的药物可以全部释放</w:t>
      </w:r>
      <w:r>
        <w:rPr>
          <w:rFonts w:hint="eastAsia" w:cs="Times New Roman"/>
          <w:color w:val="000000"/>
          <w:sz w:val="24"/>
          <w:szCs w:val="24"/>
          <w:lang w:eastAsia="zh-CN"/>
        </w:rPr>
        <w:t>，</w:t>
      </w:r>
      <w:r>
        <w:rPr>
          <w:rFonts w:ascii="Times New Roman" w:hAnsi="Times New Roman" w:eastAsia="宋体" w:cs="Times New Roman"/>
          <w:color w:val="000000"/>
          <w:sz w:val="24"/>
          <w:szCs w:val="24"/>
        </w:rPr>
        <w:t>故生物利用度高;制剂的重现性好</w:t>
      </w:r>
      <w:r>
        <w:rPr>
          <w:rFonts w:hint="eastAsia" w:cs="Times New Roman"/>
          <w:color w:val="000000"/>
          <w:sz w:val="24"/>
          <w:szCs w:val="24"/>
          <w:lang w:eastAsia="zh-CN"/>
        </w:rPr>
        <w:t>，</w:t>
      </w:r>
      <w:r>
        <w:rPr>
          <w:rFonts w:ascii="Times New Roman" w:hAnsi="Times New Roman" w:eastAsia="宋体" w:cs="Times New Roman"/>
          <w:color w:val="000000"/>
          <w:sz w:val="24"/>
          <w:szCs w:val="24"/>
        </w:rPr>
        <w:t>释药变异小;制备工艺简单</w:t>
      </w:r>
      <w:r>
        <w:rPr>
          <w:rFonts w:hint="eastAsia" w:cs="Times New Roman"/>
          <w:color w:val="000000"/>
          <w:sz w:val="24"/>
          <w:szCs w:val="24"/>
          <w:lang w:eastAsia="zh-CN"/>
        </w:rPr>
        <w:t>，</w:t>
      </w:r>
      <w:r>
        <w:rPr>
          <w:rFonts w:ascii="Times New Roman" w:hAnsi="Times New Roman" w:eastAsia="宋体" w:cs="Times New Roman"/>
          <w:color w:val="000000"/>
          <w:sz w:val="24"/>
          <w:szCs w:val="24"/>
        </w:rPr>
        <w:t>可采用粉末直接压片</w:t>
      </w:r>
      <w:r>
        <w:rPr>
          <w:rFonts w:hint="eastAsia" w:cs="Times New Roman"/>
          <w:color w:val="000000"/>
          <w:sz w:val="24"/>
          <w:szCs w:val="24"/>
          <w:lang w:eastAsia="zh-CN"/>
        </w:rPr>
        <w:t>，</w:t>
      </w:r>
      <w:r>
        <w:rPr>
          <w:rFonts w:ascii="Times New Roman" w:hAnsi="Times New Roman" w:eastAsia="宋体" w:cs="Times New Roman"/>
          <w:color w:val="000000"/>
          <w:sz w:val="24"/>
          <w:szCs w:val="24"/>
        </w:rPr>
        <w:t>也可采用传统的湿法或干法制粒压片</w:t>
      </w:r>
      <w:r>
        <w:rPr>
          <w:rFonts w:hint="eastAsia" w:cs="Times New Roman"/>
          <w:color w:val="000000"/>
          <w:sz w:val="24"/>
          <w:szCs w:val="24"/>
          <w:lang w:eastAsia="zh-CN"/>
        </w:rPr>
        <w:t>，</w:t>
      </w:r>
      <w:r>
        <w:rPr>
          <w:rFonts w:ascii="Times New Roman" w:hAnsi="Times New Roman" w:eastAsia="宋体" w:cs="Times New Roman"/>
          <w:color w:val="000000"/>
          <w:sz w:val="24"/>
          <w:szCs w:val="24"/>
        </w:rPr>
        <w:t>因此亲水凝胶骨架片应用最为广泛</w:t>
      </w:r>
      <w:r>
        <w:rPr>
          <w:rFonts w:hint="eastAsia" w:cs="Times New Roman"/>
          <w:color w:val="000000"/>
          <w:sz w:val="24"/>
          <w:szCs w:val="24"/>
          <w:lang w:eastAsia="zh-CN"/>
        </w:rPr>
        <w:t>，</w:t>
      </w:r>
      <w:r>
        <w:rPr>
          <w:rFonts w:ascii="Times New Roman" w:hAnsi="Times New Roman" w:eastAsia="宋体" w:cs="Times New Roman"/>
          <w:color w:val="000000"/>
          <w:sz w:val="24"/>
          <w:szCs w:val="24"/>
        </w:rPr>
        <w:t>占上市骨架型品种的60%-70%。其中以羟丙甲纤维素为主要缓释材料的亲水凝胶骨架片应用最广。</w:t>
      </w:r>
    </w:p>
    <w:p w14:paraId="2CBAD0F6">
      <w:pPr>
        <w:pStyle w:val="9"/>
        <w:numPr>
          <w:ilvl w:val="0"/>
          <w:numId w:val="0"/>
        </w:numPr>
        <w:ind w:leftChars="0"/>
        <w:rPr>
          <w:rFonts w:hint="eastAsia" w:ascii="仿宋_GB2312" w:eastAsia="仿宋_GB2312"/>
          <w:b/>
          <w:bCs/>
          <w:sz w:val="28"/>
          <w:lang w:val="en-US" w:eastAsia="zh-CN"/>
        </w:rPr>
      </w:pPr>
      <w:r>
        <w:rPr>
          <w:rFonts w:hint="eastAsia" w:ascii="仿宋_GB2312" w:eastAsia="仿宋_GB2312"/>
          <w:b/>
          <w:bCs/>
          <w:sz w:val="28"/>
          <w:lang w:val="en-US" w:eastAsia="zh-CN"/>
        </w:rPr>
        <w:t>三、</w:t>
      </w:r>
      <w:r>
        <w:rPr>
          <w:rFonts w:ascii="仿宋_GB2312" w:eastAsia="仿宋_GB2312"/>
          <w:b/>
          <w:bCs/>
          <w:sz w:val="28"/>
        </w:rPr>
        <w:t>相关研究</w:t>
      </w:r>
      <w:r>
        <w:rPr>
          <w:rFonts w:hint="eastAsia" w:ascii="仿宋_GB2312" w:eastAsia="仿宋_GB2312"/>
          <w:b/>
          <w:bCs/>
          <w:sz w:val="28"/>
          <w:lang w:val="en-US" w:eastAsia="zh-CN"/>
        </w:rPr>
        <w:t>现状</w:t>
      </w:r>
    </w:p>
    <w:p w14:paraId="41CA21EE">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姜帆</w:t>
      </w:r>
      <w:r>
        <w:rPr>
          <w:rFonts w:hint="eastAsia" w:cs="Times New Roman"/>
          <w:color w:val="000000"/>
          <w:sz w:val="24"/>
          <w:szCs w:val="24"/>
          <w:lang w:val="en-US" w:eastAsia="zh-CN"/>
        </w:rPr>
        <w:t>等</w:t>
      </w:r>
      <w:r>
        <w:rPr>
          <w:rFonts w:hint="eastAsia" w:ascii="Times New Roman" w:hAnsi="Times New Roman" w:eastAsia="宋体" w:cs="Times New Roman"/>
          <w:color w:val="000000"/>
          <w:sz w:val="24"/>
          <w:szCs w:val="24"/>
        </w:rPr>
        <w:t>在制备辛伐他汀缓释片时，通过单因素考察和正交实验来确定缓释片的处方和工艺，以药物的释放度为指标，确定最佳处方工艺，十八醇与卡波姆934比例为3∶1，硬脂酸镁用量为1%，硬度5～6N，所得处方重现型良好。但未考察制粒工艺、压片机运行速度等因素的影响。</w:t>
      </w:r>
    </w:p>
    <w:p w14:paraId="20F298DF">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石雷</w:t>
      </w:r>
      <w:r>
        <w:rPr>
          <w:rFonts w:hint="eastAsia" w:cs="Times New Roman"/>
          <w:color w:val="000000"/>
          <w:sz w:val="24"/>
          <w:szCs w:val="24"/>
          <w:lang w:val="en-US" w:eastAsia="zh-CN"/>
        </w:rPr>
        <w:t>等</w:t>
      </w:r>
      <w:r>
        <w:rPr>
          <w:rFonts w:hint="eastAsia" w:ascii="Times New Roman" w:hAnsi="Times New Roman" w:eastAsia="宋体" w:cs="Times New Roman"/>
          <w:color w:val="000000"/>
          <w:sz w:val="24"/>
          <w:szCs w:val="24"/>
        </w:rPr>
        <w:t>在制备辛伐他汀凝胶骨架缓释片时，应用湿法制粒压片法制备缓释片，并对影响药物释放的处方因素进行考查，以羟丙基甲基纤维素(HPMC)为骨架材料，考察了HPMC规格、用量及其它辅料对药物释放的影响。最终选择HPMC(K15M)为骨架材料，其与主药质量比为1.5∶1，所制缓释片能持续释药12h，批间重现性良好。但未考察制剂加工条件对释放度的影响。赵静、杨景杰以羟丙基甲基纤维素（HPMC）为骨架材料制备辛伐他汀凝胶骨架缓释片时，考察了制备工艺、体外释放条件对药物释放的影响。结果显示：缓释片体外释放受到溶出仪转速的影响，转速越大，药物释放越快；制粒方法、片剂硬度与溶出装置对体外释放无显著影响。尤磊、赵洪滨在制备辛伐他汀凝胶骨架缓释片时，考察了制备工艺对释放度的影响，发现制粒方法对药物释放的影响并不显著，片剂硬度对药物释放无显著影响，溶出装置对药物释放无明显影响。上述两处文献在细节上有部分矛盾之处，需要进一步验证。</w:t>
      </w:r>
    </w:p>
    <w:p w14:paraId="52E9C40E">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吴瑾</w:t>
      </w:r>
      <w:r>
        <w:rPr>
          <w:rFonts w:hint="eastAsia" w:cs="Times New Roman"/>
          <w:color w:val="000000"/>
          <w:sz w:val="24"/>
          <w:szCs w:val="24"/>
          <w:lang w:val="en-US" w:eastAsia="zh-CN"/>
        </w:rPr>
        <w:t>等</w:t>
      </w:r>
      <w:r>
        <w:rPr>
          <w:rFonts w:hint="eastAsia" w:ascii="Times New Roman" w:hAnsi="Times New Roman" w:eastAsia="宋体" w:cs="Times New Roman"/>
          <w:color w:val="000000"/>
          <w:sz w:val="24"/>
          <w:szCs w:val="24"/>
        </w:rPr>
        <w:t>在制备辛伐他汀胃漂浮型缓释片时，采用正交法筛选出辛伐他汀胃漂浮型缓释片最优处方，采用湿法制粒压片制备胃漂浮型缓释片，对制备的胃漂浮型缓释片进行漂浮性与体外释放度测定。结果显示，不溶性骨架片属于多孔性骨架系统，其药物释放符合Fick定律，其动力学过程可以用Higuchi方程描述。</w:t>
      </w:r>
    </w:p>
    <w:p w14:paraId="7D5AFAE3">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经文献查询，国内上市的相关产品主要包括原料药、片剂、胶囊和滴丸，《中国药典》收载的辛伐他汀制剂为普通片和胶囊剂两种剂型。目前国内外辛伐他汀普通片和胶囊剂的规格均为5mg、10mg、20mg、40mg。</w:t>
      </w:r>
    </w:p>
    <w:p w14:paraId="4B029B15">
      <w:pPr>
        <w:pStyle w:val="9"/>
        <w:numPr>
          <w:ilvl w:val="0"/>
          <w:numId w:val="0"/>
        </w:numPr>
        <w:ind w:leftChars="0"/>
        <w:rPr>
          <w:rFonts w:hint="eastAsia" w:ascii="仿宋_GB2312" w:eastAsia="仿宋_GB2312"/>
          <w:b/>
          <w:bCs/>
          <w:sz w:val="28"/>
        </w:rPr>
      </w:pPr>
      <w:r>
        <w:rPr>
          <w:rFonts w:hint="eastAsia" w:ascii="仿宋_GB2312" w:eastAsia="仿宋_GB2312"/>
          <w:b/>
          <w:bCs/>
          <w:sz w:val="28"/>
          <w:lang w:val="en-US" w:eastAsia="zh-CN"/>
        </w:rPr>
        <w:t>四、</w:t>
      </w:r>
      <w:r>
        <w:rPr>
          <w:rFonts w:ascii="仿宋_GB2312" w:eastAsia="仿宋_GB2312"/>
          <w:b/>
          <w:bCs/>
          <w:sz w:val="28"/>
        </w:rPr>
        <w:t>主要研究内容及创新</w:t>
      </w:r>
    </w:p>
    <w:p w14:paraId="3A731CDF">
      <w:pPr>
        <w:spacing w:afterLines="50" w:line="400" w:lineRule="exact"/>
        <w:rPr>
          <w:rFonts w:hint="eastAsia" w:ascii="黑体" w:hAnsi="黑体" w:eastAsia="黑体"/>
          <w:sz w:val="24"/>
        </w:rPr>
      </w:pPr>
      <w:r>
        <w:rPr>
          <w:rFonts w:hint="eastAsia" w:ascii="黑体" w:hAnsi="黑体" w:eastAsia="黑体"/>
          <w:sz w:val="24"/>
          <w:lang w:val="en-US" w:eastAsia="zh-CN"/>
        </w:rPr>
        <w:t>1.</w:t>
      </w:r>
      <w:r>
        <w:rPr>
          <w:rFonts w:hint="eastAsia" w:ascii="黑体" w:hAnsi="黑体" w:eastAsia="黑体"/>
          <w:sz w:val="24"/>
        </w:rPr>
        <w:t>主要研究开发内容</w:t>
      </w:r>
    </w:p>
    <w:p w14:paraId="3F7EDE5A">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ascii="Times New Roman" w:hAnsi="Times New Roman" w:eastAsia="宋体" w:cs="Times New Roman"/>
          <w:sz w:val="24"/>
          <w:szCs w:val="24"/>
        </w:rPr>
      </w:pPr>
      <w:r>
        <w:rPr>
          <w:rFonts w:ascii="Times New Roman" w:hAnsi="Times New Roman" w:eastAsia="宋体" w:cs="Times New Roman"/>
          <w:sz w:val="24"/>
          <w:szCs w:val="24"/>
        </w:rPr>
        <w:t>本课题研究内容是以辛伐他汀缓释片主要的制剂工艺条件为对象，以其体外释放度为验证指标，研究制剂工艺条件对缓释片释放度的影响规律，从而优选出辛伐他汀缓释片的制备处方与加工工艺条件。</w:t>
      </w:r>
    </w:p>
    <w:p w14:paraId="4FCE80DC">
      <w:pPr>
        <w:pStyle w:val="4"/>
        <w:keepNext w:val="0"/>
        <w:keepLines w:val="0"/>
        <w:pageBreakBefore w:val="0"/>
        <w:widowControl w:val="0"/>
        <w:kinsoku/>
        <w:wordWrap/>
        <w:overflowPunct/>
        <w:topLinePunct w:val="0"/>
        <w:autoSpaceDE/>
        <w:autoSpaceDN/>
        <w:bidi w:val="0"/>
        <w:adjustRightInd w:val="0"/>
        <w:snapToGrid/>
        <w:spacing w:before="0" w:after="0"/>
        <w:textAlignment w:val="auto"/>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t>本课题计划从以下几部分内容开展研究</w:t>
      </w:r>
      <w:r>
        <w:rPr>
          <w:rFonts w:hint="eastAsia" w:cs="Times New Roman"/>
          <w:sz w:val="24"/>
          <w:szCs w:val="24"/>
          <w:lang w:eastAsia="zh-CN"/>
        </w:rPr>
        <w:t>：</w:t>
      </w:r>
    </w:p>
    <w:p w14:paraId="77327791">
      <w:pPr>
        <w:pStyle w:val="4"/>
        <w:keepNext w:val="0"/>
        <w:keepLines w:val="0"/>
        <w:pageBreakBefore w:val="0"/>
        <w:widowControl w:val="0"/>
        <w:numPr>
          <w:ilvl w:val="0"/>
          <w:numId w:val="1"/>
        </w:numPr>
        <w:kinsoku/>
        <w:wordWrap/>
        <w:overflowPunct/>
        <w:topLinePunct w:val="0"/>
        <w:autoSpaceDE/>
        <w:autoSpaceDN/>
        <w:bidi w:val="0"/>
        <w:adjustRightInd w:val="0"/>
        <w:snapToGrid/>
        <w:spacing w:before="0" w:after="0"/>
        <w:ind w:left="0" w:leftChars="0" w:firstLine="480" w:firstLineChars="0"/>
        <w:textAlignment w:val="auto"/>
        <w:rPr>
          <w:rFonts w:hint="eastAsia" w:ascii="宋体" w:hAnsi="宋体" w:eastAsia="宋体" w:cs="宋体"/>
          <w:b w:val="0"/>
          <w:sz w:val="24"/>
          <w:szCs w:val="24"/>
        </w:rPr>
      </w:pPr>
      <w:r>
        <w:rPr>
          <w:rFonts w:ascii="Times New Roman" w:hAnsi="Times New Roman" w:eastAsia="宋体" w:cs="Times New Roman"/>
          <w:sz w:val="24"/>
          <w:szCs w:val="24"/>
        </w:rPr>
        <w:t>对辛伐他汀进行处方前研究</w:t>
      </w:r>
      <w:r>
        <w:rPr>
          <w:rFonts w:hint="eastAsia" w:cs="Times New Roman"/>
          <w:sz w:val="24"/>
          <w:szCs w:val="24"/>
          <w:lang w:eastAsia="zh-CN"/>
        </w:rPr>
        <w:t>，</w:t>
      </w:r>
      <w:r>
        <w:rPr>
          <w:rFonts w:ascii="Times New Roman" w:hAnsi="Times New Roman" w:eastAsia="宋体" w:cs="Times New Roman"/>
          <w:sz w:val="24"/>
          <w:szCs w:val="24"/>
        </w:rPr>
        <w:t>以释放度为指标，建立体外分析方法；</w:t>
      </w:r>
    </w:p>
    <w:p w14:paraId="6F79B20B">
      <w:pPr>
        <w:pStyle w:val="4"/>
        <w:keepNext w:val="0"/>
        <w:keepLines w:val="0"/>
        <w:pageBreakBefore w:val="0"/>
        <w:widowControl w:val="0"/>
        <w:numPr>
          <w:ilvl w:val="0"/>
          <w:numId w:val="1"/>
        </w:numPr>
        <w:kinsoku/>
        <w:wordWrap/>
        <w:overflowPunct/>
        <w:topLinePunct w:val="0"/>
        <w:autoSpaceDE/>
        <w:autoSpaceDN/>
        <w:bidi w:val="0"/>
        <w:adjustRightInd w:val="0"/>
        <w:snapToGrid/>
        <w:spacing w:before="0" w:after="0"/>
        <w:ind w:left="0" w:leftChars="0" w:firstLine="480" w:firstLineChars="0"/>
        <w:textAlignment w:val="auto"/>
        <w:rPr>
          <w:rFonts w:hint="eastAsia" w:ascii="宋体" w:hAnsi="宋体" w:eastAsia="宋体" w:cs="宋体"/>
          <w:b w:val="0"/>
          <w:sz w:val="24"/>
          <w:szCs w:val="24"/>
        </w:rPr>
      </w:pPr>
      <w:r>
        <w:rPr>
          <w:rFonts w:ascii="Times New Roman" w:hAnsi="Times New Roman" w:eastAsia="宋体" w:cs="Times New Roman"/>
          <w:sz w:val="24"/>
          <w:szCs w:val="24"/>
        </w:rPr>
        <w:t>通过查阅文献、前期试验等途径获得一系列辛伐他汀缓释片参考处方</w:t>
      </w:r>
      <w:r>
        <w:rPr>
          <w:rFonts w:hint="eastAsia" w:cs="Times New Roman"/>
          <w:sz w:val="24"/>
          <w:szCs w:val="24"/>
          <w:lang w:eastAsia="zh-CN"/>
        </w:rPr>
        <w:t>，</w:t>
      </w:r>
      <w:r>
        <w:rPr>
          <w:rFonts w:ascii="Times New Roman" w:hAnsi="Times New Roman" w:eastAsia="宋体" w:cs="Times New Roman"/>
          <w:sz w:val="24"/>
          <w:szCs w:val="24"/>
        </w:rPr>
        <w:t>通过对制剂工艺条件（处方构成、制剂加工因素等）的调整，通过单因素实验</w:t>
      </w:r>
      <w:r>
        <w:rPr>
          <w:rFonts w:hint="eastAsia" w:cs="Times New Roman"/>
          <w:sz w:val="24"/>
          <w:szCs w:val="24"/>
          <w:lang w:eastAsia="zh-CN"/>
        </w:rPr>
        <w:t>，</w:t>
      </w:r>
      <w:r>
        <w:rPr>
          <w:rFonts w:ascii="Times New Roman" w:hAnsi="Times New Roman" w:eastAsia="宋体" w:cs="Times New Roman"/>
          <w:sz w:val="24"/>
          <w:szCs w:val="24"/>
        </w:rPr>
        <w:t>采用相似因子法优化处方</w:t>
      </w:r>
      <w:r>
        <w:rPr>
          <w:rFonts w:hint="eastAsia" w:cs="Times New Roman"/>
          <w:sz w:val="24"/>
          <w:szCs w:val="24"/>
          <w:lang w:eastAsia="zh-CN"/>
        </w:rPr>
        <w:t>，</w:t>
      </w:r>
      <w:r>
        <w:rPr>
          <w:rFonts w:ascii="Times New Roman" w:hAnsi="Times New Roman" w:eastAsia="宋体" w:cs="Times New Roman"/>
          <w:sz w:val="24"/>
          <w:szCs w:val="24"/>
        </w:rPr>
        <w:t>总结各种工艺条件对辛伐他汀缓释片释放度的影响规律，最终确定辛伐他汀缓释片的优化处方和制备工艺条件；</w:t>
      </w:r>
    </w:p>
    <w:p w14:paraId="7C02F5AD">
      <w:pPr>
        <w:pStyle w:val="4"/>
        <w:keepNext w:val="0"/>
        <w:keepLines w:val="0"/>
        <w:pageBreakBefore w:val="0"/>
        <w:widowControl w:val="0"/>
        <w:numPr>
          <w:ilvl w:val="0"/>
          <w:numId w:val="1"/>
        </w:numPr>
        <w:kinsoku/>
        <w:wordWrap/>
        <w:overflowPunct/>
        <w:topLinePunct w:val="0"/>
        <w:autoSpaceDE/>
        <w:autoSpaceDN/>
        <w:bidi w:val="0"/>
        <w:adjustRightInd w:val="0"/>
        <w:snapToGrid/>
        <w:spacing w:before="0" w:after="0"/>
        <w:ind w:left="0" w:leftChars="0" w:firstLine="480" w:firstLineChars="0"/>
        <w:textAlignment w:val="auto"/>
        <w:rPr>
          <w:rFonts w:hint="eastAsia" w:ascii="宋体" w:hAnsi="宋体" w:eastAsia="宋体" w:cs="宋体"/>
          <w:b w:val="0"/>
          <w:sz w:val="24"/>
          <w:szCs w:val="24"/>
        </w:rPr>
      </w:pPr>
      <w:r>
        <w:rPr>
          <w:rFonts w:ascii="Times New Roman" w:hAnsi="Times New Roman" w:eastAsia="宋体" w:cs="Times New Roman"/>
          <w:sz w:val="24"/>
          <w:szCs w:val="24"/>
        </w:rPr>
        <w:t>对缓释片释药机理和稳定性进行初步研究。以市售普通片为参比对象</w:t>
      </w:r>
      <w:r>
        <w:rPr>
          <w:rFonts w:hint="eastAsia" w:cs="Times New Roman"/>
          <w:sz w:val="24"/>
          <w:szCs w:val="24"/>
          <w:lang w:eastAsia="zh-CN"/>
        </w:rPr>
        <w:t>，</w:t>
      </w:r>
      <w:r>
        <w:rPr>
          <w:rFonts w:ascii="Times New Roman" w:hAnsi="Times New Roman" w:eastAsia="宋体" w:cs="Times New Roman"/>
          <w:sz w:val="24"/>
          <w:szCs w:val="24"/>
        </w:rPr>
        <w:t>对自制缓释片的体外释放度进行对比性研究分析</w:t>
      </w:r>
      <w:r>
        <w:rPr>
          <w:rFonts w:hint="eastAsia" w:cs="Times New Roman"/>
          <w:sz w:val="24"/>
          <w:szCs w:val="24"/>
          <w:lang w:eastAsia="zh-CN"/>
        </w:rPr>
        <w:t>，</w:t>
      </w:r>
      <w:r>
        <w:rPr>
          <w:rFonts w:ascii="Times New Roman" w:hAnsi="Times New Roman" w:eastAsia="宋体" w:cs="Times New Roman"/>
          <w:sz w:val="24"/>
          <w:szCs w:val="24"/>
        </w:rPr>
        <w:t>以期对辛伐他汀缓释片进行合理的评价。</w:t>
      </w:r>
    </w:p>
    <w:p w14:paraId="1A273F05">
      <w:pPr>
        <w:spacing w:afterLines="50" w:line="400" w:lineRule="exact"/>
        <w:rPr>
          <w:rFonts w:hint="eastAsia" w:ascii="黑体" w:hAnsi="黑体" w:eastAsia="黑体"/>
          <w:sz w:val="24"/>
          <w:lang w:val="en-US" w:eastAsia="zh-CN"/>
        </w:rPr>
      </w:pPr>
      <w:r>
        <w:rPr>
          <w:rFonts w:hint="eastAsia" w:ascii="黑体" w:hAnsi="黑体" w:eastAsia="黑体"/>
          <w:sz w:val="24"/>
          <w:lang w:val="en-US" w:eastAsia="zh-CN"/>
        </w:rPr>
        <w:t>2.主要创新</w:t>
      </w:r>
    </w:p>
    <w:p w14:paraId="373E7667">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宋体" w:hAnsi="宋体" w:eastAsia="宋体" w:cs="宋体"/>
          <w:b w:val="0"/>
          <w:color w:val="000000"/>
          <w:sz w:val="24"/>
          <w:szCs w:val="24"/>
        </w:rPr>
      </w:pPr>
      <w:r>
        <w:rPr>
          <w:rFonts w:hint="eastAsia" w:ascii="Times New Roman" w:hAnsi="Times New Roman" w:eastAsia="宋体" w:cs="Times New Roman"/>
          <w:color w:val="000000"/>
          <w:sz w:val="24"/>
          <w:szCs w:val="24"/>
        </w:rPr>
        <w:t>⑴</w:t>
      </w:r>
      <w:r>
        <w:rPr>
          <w:rFonts w:ascii="Times New Roman" w:hAnsi="Times New Roman" w:eastAsia="宋体" w:cs="Times New Roman"/>
          <w:color w:val="000000"/>
          <w:sz w:val="24"/>
          <w:szCs w:val="24"/>
        </w:rPr>
        <w:t>尝试建立一套准确、灵敏、专属性较强的辛伐他汀体外释放度的检测方法；</w:t>
      </w:r>
    </w:p>
    <w:p w14:paraId="66F7AA0A">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宋体" w:hAnsi="宋体" w:eastAsia="宋体" w:cs="宋体"/>
          <w:b w:val="0"/>
          <w:color w:val="000000"/>
          <w:sz w:val="24"/>
          <w:szCs w:val="24"/>
        </w:rPr>
      </w:pPr>
      <w:r>
        <w:rPr>
          <w:rFonts w:hint="eastAsia" w:ascii="Times New Roman" w:hAnsi="Times New Roman" w:eastAsia="宋体" w:cs="Times New Roman"/>
          <w:color w:val="000000"/>
          <w:sz w:val="24"/>
          <w:szCs w:val="24"/>
        </w:rPr>
        <w:t>⑵</w:t>
      </w:r>
      <w:r>
        <w:rPr>
          <w:rFonts w:ascii="Times New Roman" w:hAnsi="Times New Roman" w:eastAsia="宋体" w:cs="Times New Roman"/>
          <w:color w:val="000000"/>
          <w:sz w:val="24"/>
          <w:szCs w:val="24"/>
        </w:rPr>
        <w:t>全面考察各种制剂工艺因素（处方因素、制剂加工因素等）对缓释片体外释放度的影响规律，为设计和制备安全、稳定和可控的药物制剂提供有力的支持。</w:t>
      </w:r>
    </w:p>
    <w:p w14:paraId="7BB99B0D">
      <w:pPr>
        <w:pStyle w:val="9"/>
        <w:numPr>
          <w:ilvl w:val="0"/>
          <w:numId w:val="0"/>
        </w:numPr>
        <w:ind w:leftChars="0"/>
        <w:rPr>
          <w:rFonts w:hint="eastAsia" w:ascii="仿宋_GB2312" w:eastAsia="仿宋_GB2312"/>
          <w:b/>
          <w:bCs/>
          <w:sz w:val="28"/>
        </w:rPr>
      </w:pPr>
      <w:r>
        <w:rPr>
          <w:rFonts w:hint="eastAsia" w:ascii="仿宋_GB2312" w:eastAsia="仿宋_GB2312"/>
          <w:b/>
          <w:bCs/>
          <w:sz w:val="28"/>
          <w:lang w:val="en-US" w:eastAsia="zh-CN"/>
        </w:rPr>
        <w:t>五、</w:t>
      </w:r>
      <w:r>
        <w:rPr>
          <w:rFonts w:ascii="仿宋_GB2312" w:eastAsia="仿宋_GB2312"/>
          <w:b/>
          <w:bCs/>
          <w:sz w:val="28"/>
        </w:rPr>
        <w:t>项目预期目标</w:t>
      </w:r>
    </w:p>
    <w:p w14:paraId="241A8DC7">
      <w:pPr>
        <w:spacing w:afterLines="50" w:line="400" w:lineRule="exact"/>
        <w:rPr>
          <w:rFonts w:hint="eastAsia" w:ascii="黑体" w:hAnsi="黑体" w:eastAsia="黑体"/>
          <w:sz w:val="24"/>
          <w:lang w:val="en-US" w:eastAsia="zh-CN"/>
        </w:rPr>
      </w:pPr>
      <w:r>
        <w:rPr>
          <w:rFonts w:hint="eastAsia" w:ascii="黑体" w:hAnsi="黑体" w:eastAsia="黑体"/>
          <w:sz w:val="24"/>
          <w:lang w:val="en-US" w:eastAsia="zh-CN"/>
        </w:rPr>
        <w:t>1.主要技术指标</w:t>
      </w:r>
    </w:p>
    <w:p w14:paraId="2C25AFE8">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⑴建立一套测定辛伐他汀体外释放度的检测方法；</w:t>
      </w:r>
    </w:p>
    <w:p w14:paraId="447CC538">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⑵归纳总结制剂工艺条件（处方、制粒工艺、压片工艺）对辛伐他汀缓释片体外释放度的影响规律，优化确定制剂工艺条件的具体指标</w:t>
      </w:r>
      <w:r>
        <w:rPr>
          <w:rFonts w:hint="eastAsia" w:ascii="Times New Roman" w:hAnsi="Times New Roman" w:eastAsia="宋体" w:cs="Times New Roman"/>
          <w:color w:val="000000"/>
          <w:sz w:val="24"/>
          <w:szCs w:val="24"/>
          <w:lang w:eastAsia="zh-CN"/>
        </w:rPr>
        <w:t>。</w:t>
      </w:r>
    </w:p>
    <w:p w14:paraId="0C478B6E">
      <w:pPr>
        <w:spacing w:afterLines="50" w:line="400" w:lineRule="exact"/>
        <w:rPr>
          <w:rFonts w:hint="eastAsia" w:ascii="黑体" w:hAnsi="黑体" w:eastAsia="黑体"/>
          <w:sz w:val="24"/>
          <w:lang w:val="en-US" w:eastAsia="zh-CN"/>
        </w:rPr>
      </w:pPr>
      <w:r>
        <w:rPr>
          <w:rFonts w:hint="eastAsia" w:ascii="黑体" w:hAnsi="黑体" w:eastAsia="黑体"/>
          <w:sz w:val="24"/>
          <w:lang w:val="en-US" w:eastAsia="zh-CN"/>
        </w:rPr>
        <w:t>2.社会效益</w:t>
      </w:r>
    </w:p>
    <w:p w14:paraId="1B07C178">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通过本课题的研究，为防治心脑血管疾病，减轻患者的痛苦，提高患者的生活质量做出一定的探索。</w:t>
      </w:r>
    </w:p>
    <w:p w14:paraId="3A359738">
      <w:pPr>
        <w:pStyle w:val="9"/>
        <w:numPr>
          <w:ilvl w:val="0"/>
          <w:numId w:val="0"/>
        </w:numPr>
        <w:ind w:leftChars="0"/>
        <w:rPr>
          <w:rFonts w:hint="eastAsia" w:ascii="仿宋_GB2312" w:eastAsia="仿宋_GB2312"/>
          <w:b/>
          <w:bCs/>
          <w:sz w:val="28"/>
        </w:rPr>
      </w:pPr>
      <w:r>
        <w:rPr>
          <w:rFonts w:hint="eastAsia" w:ascii="仿宋_GB2312" w:eastAsia="仿宋_GB2312"/>
          <w:b/>
          <w:bCs/>
          <w:sz w:val="28"/>
          <w:lang w:val="en-US" w:eastAsia="zh-CN"/>
        </w:rPr>
        <w:t>六、</w:t>
      </w:r>
      <w:r>
        <w:rPr>
          <w:rFonts w:ascii="仿宋_GB2312" w:eastAsia="仿宋_GB2312"/>
          <w:b/>
          <w:bCs/>
          <w:sz w:val="28"/>
        </w:rPr>
        <w:t>项目实施方案、技术路线</w:t>
      </w:r>
    </w:p>
    <w:p w14:paraId="5BD3BF3C">
      <w:pPr>
        <w:spacing w:afterLines="50" w:line="400" w:lineRule="exact"/>
        <w:rPr>
          <w:rFonts w:hint="eastAsia" w:ascii="黑体" w:hAnsi="黑体" w:eastAsia="黑体"/>
          <w:sz w:val="24"/>
          <w:lang w:val="en-US" w:eastAsia="zh-CN"/>
        </w:rPr>
      </w:pPr>
      <w:r>
        <w:rPr>
          <w:rFonts w:hint="eastAsia" w:ascii="黑体" w:hAnsi="黑体" w:eastAsia="黑体"/>
          <w:sz w:val="24"/>
          <w:lang w:val="en-US" w:eastAsia="zh-CN"/>
        </w:rPr>
        <w:t>1.实施方案</w:t>
      </w:r>
    </w:p>
    <w:p w14:paraId="3A2B0274">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⑴认真学习相关的文献资料，厘清研究思路，科学分解研究任务，确定研究路径；</w:t>
      </w:r>
    </w:p>
    <w:p w14:paraId="6D23E49C">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⑵在查阅文献的基础上，建立一套准确、灵敏、专属性较强的测定辛伐他汀体外释放度的检测方法，为后期的研究做好验证保证，确保研究结果准确、可靠；</w:t>
      </w:r>
    </w:p>
    <w:p w14:paraId="58A011E0">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⑶在查阅文献的基础上，通过单因素法，以多种常见的缓释辅料制备辛伐他汀缓释片，以释放度为验证指标，归纳总结辛伐他汀缓释片的优化处方；</w:t>
      </w:r>
    </w:p>
    <w:p w14:paraId="052822EC">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⑷在固定处方的基础上，以释放度为验证指标，通过对制备缓释片主要的加工工艺条件（制粒工艺、压片工艺）的调整，研究总结制剂加工工艺条件对释放度的影响规律，进而归纳出辛伐他汀缓释片的最佳工艺条件；</w:t>
      </w:r>
    </w:p>
    <w:p w14:paraId="22D894C5">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⑸以释放度为验证指标，以市售普通片为参比对象</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rPr>
        <w:t>对自制缓释片的体外释放度进行对比性研究分析</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rPr>
        <w:t>对辛伐他汀缓释片进行合理的评价。</w:t>
      </w:r>
    </w:p>
    <w:p w14:paraId="77B320A9">
      <w:pPr>
        <w:spacing w:afterLines="50" w:line="400" w:lineRule="exact"/>
        <w:rPr>
          <w:rFonts w:hint="eastAsia" w:ascii="黑体" w:hAnsi="黑体" w:eastAsia="黑体"/>
          <w:sz w:val="24"/>
          <w:lang w:val="en-US" w:eastAsia="zh-CN"/>
        </w:rPr>
      </w:pPr>
      <w:r>
        <w:rPr>
          <w:rFonts w:hint="eastAsia" w:ascii="黑体" w:hAnsi="黑体" w:eastAsia="黑体"/>
          <w:sz w:val="24"/>
          <w:lang w:val="en-US" w:eastAsia="zh-CN"/>
        </w:rPr>
        <w:t>2.技术路线</w:t>
      </w:r>
    </w:p>
    <w:p w14:paraId="4244EE7F">
      <w:pPr>
        <w:spacing w:line="360" w:lineRule="auto"/>
        <w:ind w:firstLine="480" w:firstLineChars="200"/>
        <w:jc w:val="center"/>
        <w:rPr>
          <w:rFonts w:hint="eastAsia" w:ascii="宋体" w:hAnsi="宋体"/>
          <w:color w:val="000000"/>
          <w:kern w:val="0"/>
          <w:sz w:val="24"/>
        </w:rPr>
      </w:pPr>
      <w:r>
        <w:rPr>
          <w:rFonts w:ascii="宋体" w:hAnsi="宋体"/>
          <w:color w:val="000000"/>
          <w:kern w:val="0"/>
          <w:sz w:val="24"/>
        </w:rPr>
        <w:drawing>
          <wp:inline distT="0" distB="0" distL="114300" distR="114300">
            <wp:extent cx="4521200" cy="4413885"/>
            <wp:effectExtent l="0" t="0" r="0" b="5715"/>
            <wp:docPr id="2" name="图片 2" descr="路线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路线图"/>
                    <pic:cNvPicPr>
                      <a:picLocks noChangeAspect="1"/>
                    </pic:cNvPicPr>
                  </pic:nvPicPr>
                  <pic:blipFill>
                    <a:blip r:embed="rId5"/>
                    <a:stretch>
                      <a:fillRect/>
                    </a:stretch>
                  </pic:blipFill>
                  <pic:spPr>
                    <a:xfrm>
                      <a:off x="0" y="0"/>
                      <a:ext cx="4521200" cy="4413885"/>
                    </a:xfrm>
                    <a:prstGeom prst="rect">
                      <a:avLst/>
                    </a:prstGeom>
                    <a:noFill/>
                    <a:ln>
                      <a:noFill/>
                    </a:ln>
                  </pic:spPr>
                </pic:pic>
              </a:graphicData>
            </a:graphic>
          </wp:inline>
        </w:drawing>
      </w:r>
    </w:p>
    <w:p w14:paraId="78977DC0">
      <w:pPr>
        <w:pStyle w:val="9"/>
        <w:numPr>
          <w:ilvl w:val="0"/>
          <w:numId w:val="0"/>
        </w:numPr>
        <w:ind w:leftChars="0"/>
        <w:rPr>
          <w:rFonts w:hint="eastAsia" w:ascii="仿宋_GB2312" w:eastAsia="仿宋_GB2312"/>
          <w:b/>
          <w:bCs/>
          <w:sz w:val="28"/>
        </w:rPr>
      </w:pPr>
      <w:r>
        <w:rPr>
          <w:rFonts w:hint="eastAsia" w:ascii="仿宋_GB2312" w:eastAsia="仿宋_GB2312"/>
          <w:b/>
          <w:bCs/>
          <w:sz w:val="28"/>
          <w:lang w:val="en-US" w:eastAsia="zh-CN"/>
        </w:rPr>
        <w:t>七、</w:t>
      </w:r>
      <w:r>
        <w:rPr>
          <w:rFonts w:ascii="仿宋_GB2312" w:eastAsia="仿宋_GB2312"/>
          <w:b/>
          <w:bCs/>
          <w:sz w:val="28"/>
        </w:rPr>
        <w:t>计划进度安排</w:t>
      </w:r>
    </w:p>
    <w:tbl>
      <w:tblPr>
        <w:tblStyle w:val="5"/>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0"/>
        <w:gridCol w:w="6729"/>
      </w:tblGrid>
      <w:tr w14:paraId="323D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blHeader/>
          <w:jc w:val="center"/>
        </w:trPr>
        <w:tc>
          <w:tcPr>
            <w:tcW w:w="1790" w:type="dxa"/>
            <w:tcBorders>
              <w:top w:val="single" w:color="auto" w:sz="12" w:space="0"/>
              <w:left w:val="single" w:color="auto" w:sz="12" w:space="0"/>
              <w:bottom w:val="single" w:color="auto" w:sz="4" w:space="0"/>
              <w:right w:val="single" w:color="auto" w:sz="4" w:space="0"/>
            </w:tcBorders>
            <w:noWrap w:val="0"/>
            <w:vAlign w:val="center"/>
          </w:tcPr>
          <w:p w14:paraId="12E40EC5">
            <w:pPr>
              <w:snapToGrid w:val="0"/>
              <w:spacing w:line="240" w:lineRule="auto"/>
              <w:ind w:left="0" w:leftChars="0" w:right="0" w:rightChars="0" w:firstLine="0" w:firstLineChars="0"/>
              <w:jc w:val="center"/>
              <w:rPr>
                <w:rFonts w:hint="eastAsia" w:ascii="宋体"/>
                <w:b/>
                <w:sz w:val="24"/>
              </w:rPr>
            </w:pPr>
            <w:r>
              <w:rPr>
                <w:rFonts w:hint="eastAsia" w:ascii="宋体"/>
                <w:b/>
                <w:sz w:val="24"/>
              </w:rPr>
              <w:t>起始年月</w:t>
            </w:r>
          </w:p>
        </w:tc>
        <w:tc>
          <w:tcPr>
            <w:tcW w:w="6729" w:type="dxa"/>
            <w:tcBorders>
              <w:top w:val="single" w:color="auto" w:sz="12" w:space="0"/>
              <w:left w:val="single" w:color="auto" w:sz="4" w:space="0"/>
              <w:bottom w:val="single" w:color="auto" w:sz="4" w:space="0"/>
              <w:right w:val="single" w:color="auto" w:sz="12" w:space="0"/>
            </w:tcBorders>
            <w:noWrap w:val="0"/>
            <w:vAlign w:val="center"/>
          </w:tcPr>
          <w:p w14:paraId="2682D667">
            <w:pPr>
              <w:snapToGrid w:val="0"/>
              <w:spacing w:line="240" w:lineRule="auto"/>
              <w:ind w:left="0" w:leftChars="0" w:right="0" w:rightChars="0" w:firstLine="0" w:firstLineChars="0"/>
              <w:jc w:val="center"/>
              <w:rPr>
                <w:rFonts w:hint="eastAsia" w:ascii="宋体"/>
                <w:b/>
                <w:sz w:val="24"/>
              </w:rPr>
            </w:pPr>
            <w:r>
              <w:rPr>
                <w:rFonts w:hint="eastAsia" w:ascii="宋体"/>
                <w:b/>
                <w:sz w:val="24"/>
              </w:rPr>
              <w:t>进度目标要求</w:t>
            </w:r>
          </w:p>
        </w:tc>
      </w:tr>
      <w:tr w14:paraId="6EF6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790" w:type="dxa"/>
            <w:tcBorders>
              <w:top w:val="single" w:color="auto" w:sz="4" w:space="0"/>
              <w:left w:val="single" w:color="auto" w:sz="12" w:space="0"/>
              <w:bottom w:val="single" w:color="auto" w:sz="4" w:space="0"/>
              <w:right w:val="single" w:color="auto" w:sz="4" w:space="0"/>
            </w:tcBorders>
            <w:noWrap w:val="0"/>
            <w:vAlign w:val="center"/>
          </w:tcPr>
          <w:p w14:paraId="62A71466">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202</w:t>
            </w:r>
            <w:r>
              <w:rPr>
                <w:rFonts w:hint="eastAsia" w:ascii="Times New Roman" w:hAnsi="Times New Roman" w:eastAsia="宋体" w:cs="Times New Roman"/>
                <w:color w:val="000000"/>
                <w:sz w:val="24"/>
                <w:szCs w:val="24"/>
                <w:lang w:val="en-US" w:eastAsia="zh-CN"/>
              </w:rPr>
              <w:t>4</w:t>
            </w:r>
            <w:r>
              <w:rPr>
                <w:rFonts w:hint="eastAsia" w:ascii="Times New Roman" w:hAnsi="Times New Roman" w:eastAsia="宋体" w:cs="Times New Roman"/>
                <w:color w:val="000000"/>
                <w:sz w:val="24"/>
                <w:szCs w:val="24"/>
              </w:rPr>
              <w:t>年</w:t>
            </w:r>
            <w:r>
              <w:rPr>
                <w:rFonts w:hint="eastAsia" w:ascii="Times New Roman" w:hAnsi="Times New Roman" w:eastAsia="宋体" w:cs="Times New Roman"/>
                <w:color w:val="000000"/>
                <w:sz w:val="24"/>
                <w:szCs w:val="24"/>
                <w:lang w:val="en-US" w:eastAsia="zh-CN"/>
              </w:rPr>
              <w:t>10</w:t>
            </w:r>
            <w:r>
              <w:rPr>
                <w:rFonts w:hint="eastAsia" w:ascii="Times New Roman" w:hAnsi="Times New Roman" w:eastAsia="宋体" w:cs="Times New Roman"/>
                <w:color w:val="000000"/>
                <w:sz w:val="24"/>
                <w:szCs w:val="24"/>
              </w:rPr>
              <w:t>月至202</w:t>
            </w:r>
            <w:r>
              <w:rPr>
                <w:rFonts w:hint="eastAsia" w:ascii="Times New Roman" w:hAnsi="Times New Roman" w:eastAsia="宋体" w:cs="Times New Roman"/>
                <w:color w:val="000000"/>
                <w:sz w:val="24"/>
                <w:szCs w:val="24"/>
                <w:lang w:val="en-US" w:eastAsia="zh-CN"/>
              </w:rPr>
              <w:t>4</w:t>
            </w:r>
            <w:r>
              <w:rPr>
                <w:rFonts w:hint="eastAsia" w:ascii="Times New Roman" w:hAnsi="Times New Roman" w:eastAsia="宋体" w:cs="Times New Roman"/>
                <w:color w:val="000000"/>
                <w:sz w:val="24"/>
                <w:szCs w:val="24"/>
              </w:rPr>
              <w:t>年1</w:t>
            </w:r>
            <w:r>
              <w:rPr>
                <w:rFonts w:hint="eastAsia" w:ascii="Times New Roman" w:hAnsi="Times New Roman" w:eastAsia="宋体" w:cs="Times New Roman"/>
                <w:color w:val="000000"/>
                <w:sz w:val="24"/>
                <w:szCs w:val="24"/>
                <w:lang w:val="en-US" w:eastAsia="zh-CN"/>
              </w:rPr>
              <w:t>1</w:t>
            </w:r>
            <w:r>
              <w:rPr>
                <w:rFonts w:hint="eastAsia" w:ascii="Times New Roman" w:hAnsi="Times New Roman" w:eastAsia="宋体" w:cs="Times New Roman"/>
                <w:color w:val="000000"/>
                <w:sz w:val="24"/>
                <w:szCs w:val="24"/>
              </w:rPr>
              <w:t>月</w:t>
            </w:r>
          </w:p>
        </w:tc>
        <w:tc>
          <w:tcPr>
            <w:tcW w:w="6729" w:type="dxa"/>
            <w:tcBorders>
              <w:top w:val="single" w:color="auto" w:sz="4" w:space="0"/>
              <w:left w:val="single" w:color="auto" w:sz="4" w:space="0"/>
              <w:bottom w:val="single" w:color="auto" w:sz="4" w:space="0"/>
              <w:right w:val="single" w:color="auto" w:sz="12" w:space="0"/>
            </w:tcBorders>
            <w:noWrap w:val="0"/>
            <w:vAlign w:val="center"/>
          </w:tcPr>
          <w:p w14:paraId="6A148ABA">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文献检索，构建课题研究的框架，配置课题研究所需的仪器设备及试剂。</w:t>
            </w:r>
          </w:p>
        </w:tc>
      </w:tr>
      <w:tr w14:paraId="6A04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790" w:type="dxa"/>
            <w:tcBorders>
              <w:top w:val="single" w:color="auto" w:sz="4" w:space="0"/>
              <w:left w:val="single" w:color="auto" w:sz="12" w:space="0"/>
              <w:bottom w:val="single" w:color="auto" w:sz="4" w:space="0"/>
              <w:right w:val="single" w:color="auto" w:sz="4" w:space="0"/>
            </w:tcBorders>
            <w:noWrap w:val="0"/>
            <w:vAlign w:val="center"/>
          </w:tcPr>
          <w:p w14:paraId="0B385D5C">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202</w:t>
            </w:r>
            <w:r>
              <w:rPr>
                <w:rFonts w:hint="eastAsia" w:ascii="Times New Roman" w:hAnsi="Times New Roman" w:eastAsia="宋体" w:cs="Times New Roman"/>
                <w:color w:val="000000"/>
                <w:sz w:val="24"/>
                <w:szCs w:val="24"/>
                <w:lang w:val="en-US" w:eastAsia="zh-CN"/>
              </w:rPr>
              <w:t>4</w:t>
            </w:r>
            <w:r>
              <w:rPr>
                <w:rFonts w:hint="eastAsia" w:ascii="Times New Roman" w:hAnsi="Times New Roman" w:eastAsia="宋体" w:cs="Times New Roman"/>
                <w:color w:val="000000"/>
                <w:sz w:val="24"/>
                <w:szCs w:val="24"/>
              </w:rPr>
              <w:t>年11月至202</w:t>
            </w:r>
            <w:r>
              <w:rPr>
                <w:rFonts w:hint="eastAsia" w:ascii="Times New Roman" w:hAnsi="Times New Roman" w:eastAsia="宋体" w:cs="Times New Roman"/>
                <w:color w:val="000000"/>
                <w:sz w:val="24"/>
                <w:szCs w:val="24"/>
                <w:lang w:val="en-US" w:eastAsia="zh-CN"/>
              </w:rPr>
              <w:t>5</w:t>
            </w:r>
            <w:r>
              <w:rPr>
                <w:rFonts w:hint="eastAsia" w:ascii="Times New Roman" w:hAnsi="Times New Roman" w:eastAsia="宋体" w:cs="Times New Roman"/>
                <w:color w:val="000000"/>
                <w:sz w:val="24"/>
                <w:szCs w:val="24"/>
              </w:rPr>
              <w:t>年3月</w:t>
            </w:r>
          </w:p>
        </w:tc>
        <w:tc>
          <w:tcPr>
            <w:tcW w:w="6729" w:type="dxa"/>
            <w:tcBorders>
              <w:top w:val="single" w:color="auto" w:sz="4" w:space="0"/>
              <w:left w:val="single" w:color="auto" w:sz="4" w:space="0"/>
              <w:bottom w:val="single" w:color="auto" w:sz="4" w:space="0"/>
              <w:right w:val="single" w:color="auto" w:sz="12" w:space="0"/>
            </w:tcBorders>
            <w:noWrap w:val="0"/>
            <w:vAlign w:val="center"/>
          </w:tcPr>
          <w:p w14:paraId="4DBBFB47">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辛伐他汀缓释片处方前研究，主要包括辛伐他汀检测方法的确定、原料药稳定性试验。</w:t>
            </w:r>
          </w:p>
        </w:tc>
      </w:tr>
      <w:tr w14:paraId="21BB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790" w:type="dxa"/>
            <w:tcBorders>
              <w:top w:val="single" w:color="auto" w:sz="4" w:space="0"/>
              <w:left w:val="single" w:color="auto" w:sz="12" w:space="0"/>
              <w:bottom w:val="single" w:color="auto" w:sz="4" w:space="0"/>
              <w:right w:val="single" w:color="auto" w:sz="4" w:space="0"/>
            </w:tcBorders>
            <w:noWrap w:val="0"/>
            <w:vAlign w:val="center"/>
          </w:tcPr>
          <w:p w14:paraId="069B673E">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202</w:t>
            </w:r>
            <w:r>
              <w:rPr>
                <w:rFonts w:hint="eastAsia" w:ascii="Times New Roman" w:hAnsi="Times New Roman" w:eastAsia="宋体" w:cs="Times New Roman"/>
                <w:color w:val="000000"/>
                <w:sz w:val="24"/>
                <w:szCs w:val="24"/>
                <w:lang w:val="en-US" w:eastAsia="zh-CN"/>
              </w:rPr>
              <w:t>5</w:t>
            </w:r>
            <w:r>
              <w:rPr>
                <w:rFonts w:hint="eastAsia" w:ascii="Times New Roman" w:hAnsi="Times New Roman" w:eastAsia="宋体" w:cs="Times New Roman"/>
                <w:color w:val="000000"/>
                <w:sz w:val="24"/>
                <w:szCs w:val="24"/>
              </w:rPr>
              <w:t>年4月至202</w:t>
            </w:r>
            <w:r>
              <w:rPr>
                <w:rFonts w:hint="eastAsia" w:ascii="Times New Roman" w:hAnsi="Times New Roman" w:eastAsia="宋体" w:cs="Times New Roman"/>
                <w:color w:val="000000"/>
                <w:sz w:val="24"/>
                <w:szCs w:val="24"/>
                <w:lang w:val="en-US" w:eastAsia="zh-CN"/>
              </w:rPr>
              <w:t>5</w:t>
            </w:r>
            <w:r>
              <w:rPr>
                <w:rFonts w:hint="eastAsia" w:ascii="Times New Roman" w:hAnsi="Times New Roman" w:eastAsia="宋体" w:cs="Times New Roman"/>
                <w:color w:val="000000"/>
                <w:sz w:val="24"/>
                <w:szCs w:val="24"/>
              </w:rPr>
              <w:t>年9月</w:t>
            </w:r>
          </w:p>
        </w:tc>
        <w:tc>
          <w:tcPr>
            <w:tcW w:w="6729" w:type="dxa"/>
            <w:tcBorders>
              <w:top w:val="single" w:color="auto" w:sz="4" w:space="0"/>
              <w:left w:val="single" w:color="auto" w:sz="4" w:space="0"/>
              <w:bottom w:val="single" w:color="auto" w:sz="4" w:space="0"/>
              <w:right w:val="single" w:color="auto" w:sz="12" w:space="0"/>
            </w:tcBorders>
            <w:noWrap w:val="0"/>
            <w:vAlign w:val="center"/>
          </w:tcPr>
          <w:p w14:paraId="2E3999A2">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以体外释放度为主要考察指标，确定辛伐他汀缓释片处方、优化制备工艺条件，并对辛伐他汀缓释片进行质量考察。</w:t>
            </w:r>
          </w:p>
        </w:tc>
      </w:tr>
      <w:tr w14:paraId="61B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790" w:type="dxa"/>
            <w:tcBorders>
              <w:top w:val="single" w:color="auto" w:sz="4" w:space="0"/>
              <w:left w:val="single" w:color="auto" w:sz="12" w:space="0"/>
              <w:bottom w:val="single" w:color="auto" w:sz="12" w:space="0"/>
              <w:right w:val="single" w:color="auto" w:sz="4" w:space="0"/>
            </w:tcBorders>
            <w:noWrap w:val="0"/>
            <w:vAlign w:val="center"/>
          </w:tcPr>
          <w:p w14:paraId="1EE0C288">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202</w:t>
            </w:r>
            <w:r>
              <w:rPr>
                <w:rFonts w:hint="eastAsia" w:ascii="Times New Roman" w:hAnsi="Times New Roman" w:eastAsia="宋体" w:cs="Times New Roman"/>
                <w:color w:val="000000"/>
                <w:sz w:val="24"/>
                <w:szCs w:val="24"/>
                <w:lang w:val="en-US" w:eastAsia="zh-CN"/>
              </w:rPr>
              <w:t>5</w:t>
            </w:r>
            <w:r>
              <w:rPr>
                <w:rFonts w:hint="eastAsia" w:ascii="Times New Roman" w:hAnsi="Times New Roman" w:eastAsia="宋体" w:cs="Times New Roman"/>
                <w:color w:val="000000"/>
                <w:sz w:val="24"/>
                <w:szCs w:val="24"/>
              </w:rPr>
              <w:t>年10月至202</w:t>
            </w:r>
            <w:r>
              <w:rPr>
                <w:rFonts w:hint="eastAsia" w:ascii="Times New Roman" w:hAnsi="Times New Roman" w:eastAsia="宋体" w:cs="Times New Roman"/>
                <w:color w:val="000000"/>
                <w:sz w:val="24"/>
                <w:szCs w:val="24"/>
                <w:lang w:val="en-US" w:eastAsia="zh-CN"/>
              </w:rPr>
              <w:t>5</w:t>
            </w:r>
            <w:r>
              <w:rPr>
                <w:rFonts w:hint="eastAsia" w:ascii="Times New Roman" w:hAnsi="Times New Roman" w:eastAsia="宋体" w:cs="Times New Roman"/>
                <w:color w:val="000000"/>
                <w:sz w:val="24"/>
                <w:szCs w:val="24"/>
              </w:rPr>
              <w:t>年12月</w:t>
            </w:r>
          </w:p>
        </w:tc>
        <w:tc>
          <w:tcPr>
            <w:tcW w:w="6729" w:type="dxa"/>
            <w:tcBorders>
              <w:top w:val="single" w:color="auto" w:sz="4" w:space="0"/>
              <w:left w:val="single" w:color="auto" w:sz="4" w:space="0"/>
              <w:bottom w:val="single" w:color="auto" w:sz="12" w:space="0"/>
              <w:right w:val="single" w:color="auto" w:sz="12" w:space="0"/>
            </w:tcBorders>
            <w:noWrap w:val="0"/>
            <w:vAlign w:val="center"/>
          </w:tcPr>
          <w:p w14:paraId="5DDA1B0B">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after="0"/>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整理课题资料，发表论文，准备参加结题论证会。</w:t>
            </w:r>
          </w:p>
        </w:tc>
      </w:tr>
    </w:tbl>
    <w:p w14:paraId="07E34620">
      <w:pPr>
        <w:pStyle w:val="7"/>
      </w:pPr>
    </w:p>
    <w:p w14:paraId="1705113E">
      <w:pPr>
        <w:pStyle w:val="7"/>
      </w:pPr>
    </w:p>
    <w:p w14:paraId="320664D6">
      <w:pPr>
        <w:pStyle w:val="7"/>
      </w:pPr>
    </w:p>
    <w:p w14:paraId="248D6EBA">
      <w:pPr>
        <w:pStyle w:val="7"/>
      </w:pPr>
      <w:r>
        <w:rPr>
          <w:rFonts w:ascii="仿宋_GB2312" w:hAnsi="Times New Roman" w:eastAsia="仿宋_GB2312" w:cs="Times New Roman"/>
          <w:b/>
          <w:bCs/>
          <w:kern w:val="2"/>
          <w:sz w:val="28"/>
          <w:szCs w:val="24"/>
          <w:lang w:val="en-US" w:eastAsia="zh-CN" w:bidi="ar-SA"/>
        </w:rPr>
        <w:t>参考文献</w:t>
      </w:r>
    </w:p>
    <w:p w14:paraId="72A51F5A">
      <w:pPr>
        <w:pStyle w:val="8"/>
        <w:widowControl/>
        <w:numPr>
          <w:ilvl w:val="0"/>
          <w:numId w:val="0"/>
        </w:numPr>
        <w:ind w:left="425" w:leftChars="0" w:hanging="425" w:firstLineChars="0"/>
        <w:rPr>
          <w:rFonts w:hint="eastAsia" w:ascii="宋体" w:hAnsi="宋体" w:eastAsia="宋体" w:cs="宋体"/>
          <w:b w:val="0"/>
          <w:kern w:val="2"/>
          <w:sz w:val="21"/>
          <w:szCs w:val="21"/>
          <w:lang w:bidi="ar-SA"/>
        </w:rPr>
      </w:pPr>
      <w:r>
        <w:rPr>
          <w:rFonts w:hint="eastAsia" w:ascii="宋体" w:hAnsi="宋体" w:eastAsia="宋体" w:cs="宋体"/>
          <w:b w:val="0"/>
          <w:kern w:val="2"/>
          <w:sz w:val="21"/>
          <w:szCs w:val="21"/>
          <w:lang w:val="en-US" w:eastAsia="zh-CN" w:bidi="ar-SA"/>
        </w:rPr>
        <w:t>[1]</w:t>
      </w:r>
      <w:r>
        <w:rPr>
          <w:rFonts w:hint="default" w:ascii="宋体" w:hAnsi="宋体" w:eastAsia="宋体" w:cs="宋体"/>
          <w:b w:val="0"/>
          <w:kern w:val="2"/>
          <w:sz w:val="21"/>
          <w:szCs w:val="21"/>
          <w:lang w:bidi="ar-SA"/>
        </w:rPr>
        <w:t>国家药典委员会.中国药典[S].北京</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化学工业出版社</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20</w:t>
      </w:r>
      <w:r>
        <w:rPr>
          <w:rFonts w:hint="eastAsia" w:ascii="宋体" w:hAnsi="宋体" w:eastAsia="宋体" w:cs="宋体"/>
          <w:b w:val="0"/>
          <w:kern w:val="2"/>
          <w:sz w:val="21"/>
          <w:szCs w:val="21"/>
          <w:lang w:val="en-US" w:eastAsia="zh-CN" w:bidi="ar-SA"/>
        </w:rPr>
        <w:t>2</w:t>
      </w:r>
      <w:r>
        <w:rPr>
          <w:rFonts w:hint="default" w:ascii="宋体" w:hAnsi="宋体" w:eastAsia="宋体" w:cs="宋体"/>
          <w:b w:val="0"/>
          <w:kern w:val="2"/>
          <w:sz w:val="21"/>
          <w:szCs w:val="21"/>
          <w:lang w:bidi="ar-SA"/>
        </w:rPr>
        <w:t>5</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521.</w:t>
      </w:r>
    </w:p>
    <w:p w14:paraId="255DC5AE">
      <w:pPr>
        <w:pStyle w:val="8"/>
        <w:widowControl/>
        <w:numPr>
          <w:ilvl w:val="0"/>
          <w:numId w:val="0"/>
        </w:numPr>
        <w:ind w:left="425" w:leftChars="0" w:hanging="425" w:firstLineChars="0"/>
        <w:rPr>
          <w:rFonts w:hint="default" w:ascii="宋体" w:hAnsi="宋体" w:eastAsia="宋体" w:cs="宋体"/>
          <w:b w:val="0"/>
          <w:kern w:val="2"/>
          <w:sz w:val="21"/>
          <w:szCs w:val="21"/>
          <w:lang w:bidi="ar-SA"/>
        </w:rPr>
      </w:pPr>
      <w:r>
        <w:rPr>
          <w:rFonts w:hint="default" w:ascii="宋体" w:hAnsi="宋体" w:eastAsia="宋体" w:cs="宋体"/>
          <w:b w:val="0"/>
          <w:kern w:val="2"/>
          <w:sz w:val="21"/>
          <w:szCs w:val="21"/>
          <w:lang w:val="en-US" w:eastAsia="zh-CN" w:bidi="ar-SA"/>
        </w:rPr>
        <w:t>[</w:t>
      </w:r>
      <w:r>
        <w:rPr>
          <w:rFonts w:hint="eastAsia" w:ascii="宋体" w:hAnsi="宋体" w:eastAsia="宋体" w:cs="宋体"/>
          <w:b w:val="0"/>
          <w:kern w:val="2"/>
          <w:sz w:val="21"/>
          <w:szCs w:val="21"/>
          <w:lang w:val="en-US" w:eastAsia="zh-CN" w:bidi="ar-SA"/>
        </w:rPr>
        <w:t>2</w:t>
      </w:r>
      <w:r>
        <w:rPr>
          <w:rFonts w:hint="default" w:ascii="宋体" w:hAnsi="宋体" w:eastAsia="宋体" w:cs="宋体"/>
          <w:b w:val="0"/>
          <w:kern w:val="2"/>
          <w:sz w:val="21"/>
          <w:szCs w:val="21"/>
          <w:lang w:val="en-US" w:eastAsia="zh-CN" w:bidi="ar-SA"/>
        </w:rPr>
        <w:t>]</w:t>
      </w:r>
      <w:r>
        <w:rPr>
          <w:rFonts w:hint="default" w:ascii="宋体" w:hAnsi="宋体" w:eastAsia="宋体" w:cs="宋体"/>
          <w:b w:val="0"/>
          <w:kern w:val="2"/>
          <w:sz w:val="21"/>
          <w:szCs w:val="21"/>
          <w:lang w:bidi="ar-SA"/>
        </w:rPr>
        <w:t>郭静文</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陈军霖</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梁秀娜</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等.辽宁省49种降脂类药品的临床综合评价[J].中国药房</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2025</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36(24)</w:t>
      </w:r>
      <w:r>
        <w:rPr>
          <w:rFonts w:hint="eastAsia" w:ascii="宋体" w:hAnsi="宋体" w:cs="宋体"/>
          <w:b w:val="0"/>
          <w:kern w:val="2"/>
          <w:sz w:val="21"/>
          <w:szCs w:val="21"/>
          <w:lang w:eastAsia="zh-CN" w:bidi="ar-SA"/>
        </w:rPr>
        <w:t>：</w:t>
      </w:r>
      <w:r>
        <w:rPr>
          <w:rFonts w:hint="default" w:ascii="宋体" w:hAnsi="宋体" w:eastAsia="宋体" w:cs="宋体"/>
          <w:b w:val="0"/>
          <w:kern w:val="2"/>
          <w:sz w:val="21"/>
          <w:szCs w:val="21"/>
          <w:lang w:bidi="ar-SA"/>
        </w:rPr>
        <w:t>3041-3047.</w:t>
      </w:r>
    </w:p>
    <w:p w14:paraId="24AB61F0">
      <w:pPr>
        <w:pStyle w:val="8"/>
        <w:widowControl/>
        <w:numPr>
          <w:ilvl w:val="0"/>
          <w:numId w:val="0"/>
        </w:numPr>
        <w:ind w:left="425" w:leftChars="0" w:hanging="425" w:firstLineChars="0"/>
        <w:rPr>
          <w:rFonts w:hint="eastAsia" w:ascii="宋体" w:hAnsi="宋体" w:eastAsia="宋体" w:cs="宋体"/>
          <w:b w:val="0"/>
          <w:kern w:val="2"/>
          <w:sz w:val="21"/>
          <w:szCs w:val="21"/>
          <w:lang w:bidi="ar-SA"/>
        </w:rPr>
      </w:pPr>
      <w:r>
        <w:rPr>
          <w:rFonts w:hint="eastAsia" w:ascii="宋体" w:hAnsi="宋体" w:eastAsia="宋体" w:cs="宋体"/>
          <w:b w:val="0"/>
          <w:kern w:val="2"/>
          <w:sz w:val="21"/>
          <w:szCs w:val="21"/>
          <w:lang w:val="en-US" w:eastAsia="zh-CN" w:bidi="ar-SA"/>
        </w:rPr>
        <w:t>[3]</w:t>
      </w:r>
      <w:r>
        <w:rPr>
          <w:rFonts w:hint="eastAsia" w:ascii="宋体" w:hAnsi="宋体" w:eastAsia="宋体" w:cs="宋体"/>
          <w:b w:val="0"/>
          <w:kern w:val="2"/>
          <w:sz w:val="21"/>
          <w:szCs w:val="21"/>
          <w:lang w:bidi="ar-SA"/>
        </w:rPr>
        <w:t>彭涛</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孙敏捷</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ANWAR-FADZIAhmad Fahmi</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等.3D打印技术在药物制剂领域的研究进展[J].药学进展</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2024</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48(07)</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484-495.DOI</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10.20053/j.issn1001-5094.2024.07.002.</w:t>
      </w:r>
    </w:p>
    <w:p w14:paraId="62DDB464">
      <w:pPr>
        <w:pStyle w:val="8"/>
        <w:widowControl/>
        <w:numPr>
          <w:ilvl w:val="0"/>
          <w:numId w:val="0"/>
        </w:numPr>
        <w:ind w:left="425" w:leftChars="0" w:hanging="425" w:firstLineChars="0"/>
        <w:rPr>
          <w:rFonts w:hint="eastAsia" w:ascii="宋体" w:hAnsi="宋体" w:eastAsia="宋体" w:cs="宋体"/>
          <w:b w:val="0"/>
          <w:kern w:val="2"/>
          <w:sz w:val="21"/>
          <w:szCs w:val="21"/>
          <w:lang w:bidi="ar-SA"/>
        </w:rPr>
      </w:pPr>
      <w:r>
        <w:rPr>
          <w:rFonts w:hint="eastAsia" w:ascii="宋体" w:hAnsi="宋体" w:eastAsia="宋体" w:cs="宋体"/>
          <w:b w:val="0"/>
          <w:kern w:val="2"/>
          <w:sz w:val="21"/>
          <w:szCs w:val="21"/>
          <w:lang w:val="en-US" w:eastAsia="zh-CN" w:bidi="ar-SA"/>
        </w:rPr>
        <w:t>[4]</w:t>
      </w:r>
      <w:r>
        <w:rPr>
          <w:rFonts w:hint="eastAsia" w:ascii="宋体" w:hAnsi="宋体" w:eastAsia="宋体" w:cs="宋体"/>
          <w:b w:val="0"/>
          <w:kern w:val="2"/>
          <w:sz w:val="21"/>
          <w:szCs w:val="21"/>
          <w:lang w:bidi="ar-SA"/>
        </w:rPr>
        <w:t>张盼盼</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张蓉蓉.“整吃整排”不要急，药物吸收更规律[J].家庭用药</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2025</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(06)</w:t>
      </w:r>
      <w:r>
        <w:rPr>
          <w:rFonts w:hint="eastAsia" w:ascii="宋体" w:hAnsi="宋体" w:cs="宋体"/>
          <w:b w:val="0"/>
          <w:kern w:val="2"/>
          <w:sz w:val="21"/>
          <w:szCs w:val="21"/>
          <w:lang w:eastAsia="zh-CN" w:bidi="ar-SA"/>
        </w:rPr>
        <w:t>：</w:t>
      </w:r>
      <w:r>
        <w:rPr>
          <w:rFonts w:hint="eastAsia" w:ascii="宋体" w:hAnsi="宋体" w:eastAsia="宋体" w:cs="宋体"/>
          <w:b w:val="0"/>
          <w:kern w:val="2"/>
          <w:sz w:val="21"/>
          <w:szCs w:val="21"/>
          <w:lang w:bidi="ar-SA"/>
        </w:rPr>
        <w:t>50-51.</w:t>
      </w:r>
    </w:p>
    <w:p w14:paraId="65F3A265">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5</w:t>
      </w:r>
      <w:r>
        <w:rPr>
          <w:rFonts w:hint="default" w:ascii="宋体" w:hAnsi="宋体" w:eastAsia="宋体" w:cs="宋体"/>
          <w:b w:val="0"/>
          <w:kern w:val="2"/>
          <w:sz w:val="21"/>
          <w:szCs w:val="21"/>
          <w:lang w:bidi="ar-SA"/>
        </w:rPr>
        <w:t>]</w:t>
      </w:r>
      <w:r>
        <w:t>王莉.采用精益六西格玛工具降低辛伐他汀钙片压片不良率[J].北方药学</w:t>
      </w:r>
      <w:r>
        <w:rPr>
          <w:rFonts w:hint="eastAsia"/>
          <w:lang w:eastAsia="zh-CN"/>
        </w:rPr>
        <w:t>，</w:t>
      </w:r>
      <w:r>
        <w:t>2019</w:t>
      </w:r>
      <w:r>
        <w:rPr>
          <w:rFonts w:hint="eastAsia"/>
          <w:lang w:eastAsia="zh-CN"/>
        </w:rPr>
        <w:t>，</w:t>
      </w:r>
      <w:r>
        <w:t>16(07)</w:t>
      </w:r>
      <w:r>
        <w:rPr>
          <w:rFonts w:hint="eastAsia"/>
          <w:lang w:eastAsia="zh-CN"/>
        </w:rPr>
        <w:t>：</w:t>
      </w:r>
      <w:r>
        <w:t>125-126.</w:t>
      </w:r>
    </w:p>
    <w:p w14:paraId="14AE8088">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6</w:t>
      </w:r>
      <w:r>
        <w:rPr>
          <w:rFonts w:hint="default" w:ascii="宋体" w:hAnsi="宋体" w:eastAsia="宋体" w:cs="宋体"/>
          <w:b w:val="0"/>
          <w:kern w:val="2"/>
          <w:sz w:val="21"/>
          <w:szCs w:val="21"/>
          <w:lang w:bidi="ar-SA"/>
        </w:rPr>
        <w:t>]</w:t>
      </w:r>
      <w:r>
        <w:t>周继虎.不同他汀类药物对冠心病患者血脂水平及炎症反应的的影响[J].实用糖尿病杂志</w:t>
      </w:r>
      <w:r>
        <w:rPr>
          <w:rFonts w:hint="eastAsia"/>
          <w:lang w:eastAsia="zh-CN"/>
        </w:rPr>
        <w:t>，</w:t>
      </w:r>
      <w:r>
        <w:t>2020</w:t>
      </w:r>
      <w:r>
        <w:rPr>
          <w:rFonts w:hint="eastAsia"/>
          <w:lang w:eastAsia="zh-CN"/>
        </w:rPr>
        <w:t>，</w:t>
      </w:r>
      <w:r>
        <w:t>16(03)</w:t>
      </w:r>
      <w:r>
        <w:rPr>
          <w:rFonts w:hint="eastAsia"/>
          <w:lang w:eastAsia="zh-CN"/>
        </w:rPr>
        <w:t>：</w:t>
      </w:r>
      <w:r>
        <w:t>67-68.</w:t>
      </w:r>
    </w:p>
    <w:p w14:paraId="61A54B19">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7</w:t>
      </w:r>
      <w:r>
        <w:rPr>
          <w:rFonts w:hint="default" w:ascii="宋体" w:hAnsi="宋体" w:eastAsia="宋体" w:cs="宋体"/>
          <w:b w:val="0"/>
          <w:kern w:val="2"/>
          <w:sz w:val="21"/>
          <w:szCs w:val="21"/>
          <w:lang w:bidi="ar-SA"/>
        </w:rPr>
        <w:t>]</w:t>
      </w:r>
      <w:r>
        <w:t>包星海</w:t>
      </w:r>
      <w:r>
        <w:rPr>
          <w:rFonts w:hint="eastAsia"/>
          <w:lang w:eastAsia="zh-CN"/>
        </w:rPr>
        <w:t>，</w:t>
      </w:r>
      <w:r>
        <w:t>栾立标.对药物缓控释制剂的研究进展[J].当代医药论丛</w:t>
      </w:r>
      <w:r>
        <w:rPr>
          <w:rFonts w:hint="eastAsia"/>
          <w:lang w:eastAsia="zh-CN"/>
        </w:rPr>
        <w:t>，</w:t>
      </w:r>
      <w:r>
        <w:t>2017</w:t>
      </w:r>
      <w:r>
        <w:rPr>
          <w:rFonts w:hint="eastAsia"/>
          <w:lang w:eastAsia="zh-CN"/>
        </w:rPr>
        <w:t>，</w:t>
      </w:r>
      <w:r>
        <w:t>15(23)</w:t>
      </w:r>
      <w:r>
        <w:rPr>
          <w:rFonts w:hint="eastAsia"/>
          <w:lang w:eastAsia="zh-CN"/>
        </w:rPr>
        <w:t>：</w:t>
      </w:r>
      <w:r>
        <w:t>36-37.</w:t>
      </w:r>
    </w:p>
    <w:p w14:paraId="1F4FB2AA">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8</w:t>
      </w:r>
      <w:r>
        <w:rPr>
          <w:rFonts w:hint="default" w:ascii="宋体" w:hAnsi="宋体" w:eastAsia="宋体" w:cs="宋体"/>
          <w:b w:val="0"/>
          <w:kern w:val="2"/>
          <w:sz w:val="21"/>
          <w:szCs w:val="21"/>
          <w:lang w:bidi="ar-SA"/>
        </w:rPr>
        <w:t>]</w:t>
      </w:r>
      <w:r>
        <w:t>姜帆</w:t>
      </w:r>
      <w:r>
        <w:rPr>
          <w:rFonts w:hint="eastAsia"/>
          <w:lang w:eastAsia="zh-CN"/>
        </w:rPr>
        <w:t>，</w:t>
      </w:r>
      <w:r>
        <w:t>李鑫</w:t>
      </w:r>
      <w:r>
        <w:rPr>
          <w:rFonts w:hint="eastAsia"/>
          <w:lang w:eastAsia="zh-CN"/>
        </w:rPr>
        <w:t>，</w:t>
      </w:r>
      <w:r>
        <w:t>张文君</w:t>
      </w:r>
      <w:r>
        <w:rPr>
          <w:rFonts w:hint="eastAsia"/>
          <w:lang w:eastAsia="zh-CN"/>
        </w:rPr>
        <w:t>，</w:t>
      </w:r>
      <w:r>
        <w:t>沈韵桐</w:t>
      </w:r>
      <w:r>
        <w:rPr>
          <w:rFonts w:hint="eastAsia"/>
          <w:lang w:eastAsia="zh-CN"/>
        </w:rPr>
        <w:t>，</w:t>
      </w:r>
      <w:r>
        <w:t>李建泽.辛伐他汀缓释片的制备工艺研究[J].哈尔滨商业大学学报(自然科学版)</w:t>
      </w:r>
      <w:r>
        <w:rPr>
          <w:rFonts w:hint="eastAsia"/>
          <w:lang w:eastAsia="zh-CN"/>
        </w:rPr>
        <w:t>，</w:t>
      </w:r>
      <w:r>
        <w:t>2017</w:t>
      </w:r>
      <w:r>
        <w:rPr>
          <w:rFonts w:hint="eastAsia"/>
          <w:lang w:eastAsia="zh-CN"/>
        </w:rPr>
        <w:t>，</w:t>
      </w:r>
      <w:r>
        <w:t>3306</w:t>
      </w:r>
      <w:r>
        <w:rPr>
          <w:rFonts w:hint="eastAsia"/>
          <w:lang w:eastAsia="zh-CN"/>
        </w:rPr>
        <w:t>：</w:t>
      </w:r>
      <w:r>
        <w:t>647-650+655.</w:t>
      </w:r>
    </w:p>
    <w:p w14:paraId="747C987F">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9</w:t>
      </w:r>
      <w:r>
        <w:rPr>
          <w:rFonts w:hint="default" w:ascii="宋体" w:hAnsi="宋体" w:eastAsia="宋体" w:cs="宋体"/>
          <w:b w:val="0"/>
          <w:kern w:val="2"/>
          <w:sz w:val="21"/>
          <w:szCs w:val="21"/>
          <w:lang w:bidi="ar-SA"/>
        </w:rPr>
        <w:t>]</w:t>
      </w:r>
      <w:r>
        <w:t>石雷</w:t>
      </w:r>
      <w:r>
        <w:rPr>
          <w:rFonts w:hint="eastAsia"/>
          <w:lang w:eastAsia="zh-CN"/>
        </w:rPr>
        <w:t>，</w:t>
      </w:r>
      <w:r>
        <w:t>钱俊青.辛伐他汀缓释片制备及体外释放研究[J].中国现代应用药学</w:t>
      </w:r>
      <w:r>
        <w:rPr>
          <w:rFonts w:hint="eastAsia"/>
          <w:lang w:eastAsia="zh-CN"/>
        </w:rPr>
        <w:t>，</w:t>
      </w:r>
      <w:r>
        <w:t>2011</w:t>
      </w:r>
      <w:r>
        <w:rPr>
          <w:rFonts w:hint="eastAsia"/>
          <w:lang w:eastAsia="zh-CN"/>
        </w:rPr>
        <w:t>，</w:t>
      </w:r>
      <w:r>
        <w:t>2811</w:t>
      </w:r>
      <w:r>
        <w:rPr>
          <w:rFonts w:hint="eastAsia"/>
          <w:lang w:eastAsia="zh-CN"/>
        </w:rPr>
        <w:t>：</w:t>
      </w:r>
      <w:r>
        <w:t>1013-1017.</w:t>
      </w:r>
    </w:p>
    <w:p w14:paraId="7441D115">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10</w:t>
      </w:r>
      <w:r>
        <w:rPr>
          <w:rFonts w:hint="default" w:ascii="宋体" w:hAnsi="宋体" w:eastAsia="宋体" w:cs="宋体"/>
          <w:b w:val="0"/>
          <w:kern w:val="2"/>
          <w:sz w:val="21"/>
          <w:szCs w:val="21"/>
          <w:lang w:bidi="ar-SA"/>
        </w:rPr>
        <w:t>]</w:t>
      </w:r>
      <w:r>
        <w:t>赵静</w:t>
      </w:r>
      <w:r>
        <w:rPr>
          <w:rFonts w:hint="eastAsia"/>
          <w:lang w:eastAsia="zh-CN"/>
        </w:rPr>
        <w:t>，</w:t>
      </w:r>
      <w:r>
        <w:t>杨景杰.辛伐他汀凝胶骨架缓释片制备工艺与体外释放考察[J].黑龙江科技信息</w:t>
      </w:r>
      <w:r>
        <w:rPr>
          <w:rFonts w:hint="eastAsia"/>
          <w:lang w:eastAsia="zh-CN"/>
        </w:rPr>
        <w:t>，</w:t>
      </w:r>
      <w:r>
        <w:t>2012</w:t>
      </w:r>
      <w:r>
        <w:rPr>
          <w:rFonts w:hint="eastAsia"/>
          <w:lang w:eastAsia="zh-CN"/>
        </w:rPr>
        <w:t>，</w:t>
      </w:r>
      <w:r>
        <w:t>19</w:t>
      </w:r>
      <w:r>
        <w:rPr>
          <w:rFonts w:hint="eastAsia"/>
          <w:lang w:eastAsia="zh-CN"/>
        </w:rPr>
        <w:t>：</w:t>
      </w:r>
      <w:r>
        <w:t>45.</w:t>
      </w:r>
    </w:p>
    <w:p w14:paraId="4424CFD9">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11</w:t>
      </w:r>
      <w:r>
        <w:rPr>
          <w:rFonts w:hint="default" w:ascii="宋体" w:hAnsi="宋体" w:eastAsia="宋体" w:cs="宋体"/>
          <w:b w:val="0"/>
          <w:kern w:val="2"/>
          <w:sz w:val="21"/>
          <w:szCs w:val="21"/>
          <w:lang w:bidi="ar-SA"/>
        </w:rPr>
        <w:t>]</w:t>
      </w:r>
      <w:r>
        <w:t>赵丽君.辛伐他汀治疗冠心病合并高脂血症疗效观察[J].临床合理用药杂志</w:t>
      </w:r>
      <w:r>
        <w:rPr>
          <w:rFonts w:hint="eastAsia"/>
          <w:lang w:eastAsia="zh-CN"/>
        </w:rPr>
        <w:t>，</w:t>
      </w:r>
      <w:r>
        <w:t>2020</w:t>
      </w:r>
      <w:r>
        <w:rPr>
          <w:rFonts w:hint="eastAsia"/>
          <w:lang w:eastAsia="zh-CN"/>
        </w:rPr>
        <w:t>，</w:t>
      </w:r>
      <w:r>
        <w:t>13(16)</w:t>
      </w:r>
      <w:r>
        <w:rPr>
          <w:rFonts w:hint="eastAsia"/>
          <w:lang w:eastAsia="zh-CN"/>
        </w:rPr>
        <w:t>：</w:t>
      </w:r>
      <w:r>
        <w:t>10-11.</w:t>
      </w:r>
    </w:p>
    <w:p w14:paraId="797B60D4">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12</w:t>
      </w:r>
      <w:r>
        <w:rPr>
          <w:rFonts w:hint="default" w:ascii="宋体" w:hAnsi="宋体" w:eastAsia="宋体" w:cs="宋体"/>
          <w:b w:val="0"/>
          <w:kern w:val="2"/>
          <w:sz w:val="21"/>
          <w:szCs w:val="21"/>
          <w:lang w:bidi="ar-SA"/>
        </w:rPr>
        <w:t>]</w:t>
      </w:r>
      <w:r>
        <w:t>王曙光</w:t>
      </w:r>
      <w:r>
        <w:rPr>
          <w:rFonts w:hint="eastAsia"/>
          <w:lang w:eastAsia="zh-CN"/>
        </w:rPr>
        <w:t>，</w:t>
      </w:r>
      <w:r>
        <w:t>王林</w:t>
      </w:r>
      <w:r>
        <w:rPr>
          <w:rFonts w:hint="eastAsia"/>
          <w:lang w:eastAsia="zh-CN"/>
        </w:rPr>
        <w:t>，</w:t>
      </w:r>
      <w:r>
        <w:t>邵振中</w:t>
      </w:r>
      <w:r>
        <w:rPr>
          <w:rFonts w:hint="eastAsia"/>
          <w:lang w:eastAsia="zh-CN"/>
        </w:rPr>
        <w:t>，</w:t>
      </w:r>
      <w:r>
        <w:t>陆小平</w:t>
      </w:r>
      <w:r>
        <w:rPr>
          <w:rFonts w:hint="eastAsia"/>
          <w:lang w:eastAsia="zh-CN"/>
        </w:rPr>
        <w:t>，</w:t>
      </w:r>
      <w:r>
        <w:t>杭夏清.复方辛伐他汀烟酸缓释片中烟酸在不同释放介质中的释放度研究[J].中国药物警戒</w:t>
      </w:r>
      <w:r>
        <w:rPr>
          <w:rFonts w:hint="eastAsia"/>
          <w:lang w:eastAsia="zh-CN"/>
        </w:rPr>
        <w:t>，</w:t>
      </w:r>
      <w:r>
        <w:t>2011</w:t>
      </w:r>
      <w:r>
        <w:rPr>
          <w:rFonts w:hint="eastAsia"/>
          <w:lang w:eastAsia="zh-CN"/>
        </w:rPr>
        <w:t>，</w:t>
      </w:r>
      <w:r>
        <w:t>810</w:t>
      </w:r>
      <w:r>
        <w:rPr>
          <w:rFonts w:hint="eastAsia"/>
          <w:lang w:eastAsia="zh-CN"/>
        </w:rPr>
        <w:t>：</w:t>
      </w:r>
      <w:r>
        <w:t>581-584.</w:t>
      </w:r>
    </w:p>
    <w:p w14:paraId="45DB0128">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13</w:t>
      </w:r>
      <w:r>
        <w:rPr>
          <w:rFonts w:hint="default" w:ascii="宋体" w:hAnsi="宋体" w:eastAsia="宋体" w:cs="宋体"/>
          <w:b w:val="0"/>
          <w:kern w:val="2"/>
          <w:sz w:val="21"/>
          <w:szCs w:val="21"/>
          <w:lang w:bidi="ar-SA"/>
        </w:rPr>
        <w:t>]</w:t>
      </w:r>
      <w:r>
        <w:t>石雷</w:t>
      </w:r>
      <w:r>
        <w:rPr>
          <w:rFonts w:hint="eastAsia"/>
          <w:lang w:eastAsia="zh-CN"/>
        </w:rPr>
        <w:t>，</w:t>
      </w:r>
      <w:r>
        <w:t>范长春.辛伐他汀凝胶骨架缓释片制备工艺与体外释放考察[J].中国医药导报</w:t>
      </w:r>
      <w:r>
        <w:rPr>
          <w:rFonts w:hint="eastAsia"/>
          <w:lang w:eastAsia="zh-CN"/>
        </w:rPr>
        <w:t>，</w:t>
      </w:r>
      <w:r>
        <w:t>2011</w:t>
      </w:r>
      <w:r>
        <w:rPr>
          <w:rFonts w:hint="eastAsia"/>
          <w:lang w:eastAsia="zh-CN"/>
        </w:rPr>
        <w:t>，</w:t>
      </w:r>
      <w:r>
        <w:t>826</w:t>
      </w:r>
      <w:r>
        <w:rPr>
          <w:rFonts w:hint="eastAsia"/>
          <w:lang w:eastAsia="zh-CN"/>
        </w:rPr>
        <w:t>：</w:t>
      </w:r>
      <w:r>
        <w:t>76-78.</w:t>
      </w:r>
    </w:p>
    <w:p w14:paraId="5043945A">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14</w:t>
      </w:r>
      <w:r>
        <w:rPr>
          <w:rFonts w:hint="default" w:ascii="宋体" w:hAnsi="宋体" w:eastAsia="宋体" w:cs="宋体"/>
          <w:b w:val="0"/>
          <w:kern w:val="2"/>
          <w:sz w:val="21"/>
          <w:szCs w:val="21"/>
          <w:lang w:bidi="ar-SA"/>
        </w:rPr>
        <w:t>]</w:t>
      </w:r>
      <w:r>
        <w:t>吴瑾</w:t>
      </w:r>
      <w:r>
        <w:rPr>
          <w:rFonts w:hint="eastAsia"/>
          <w:lang w:eastAsia="zh-CN"/>
        </w:rPr>
        <w:t>，</w:t>
      </w:r>
      <w:r>
        <w:t>张晓林</w:t>
      </w:r>
      <w:r>
        <w:rPr>
          <w:rFonts w:hint="eastAsia"/>
          <w:lang w:eastAsia="zh-CN"/>
        </w:rPr>
        <w:t>，</w:t>
      </w:r>
      <w:r>
        <w:t>彭霞</w:t>
      </w:r>
      <w:r>
        <w:rPr>
          <w:rFonts w:hint="eastAsia"/>
          <w:lang w:eastAsia="zh-CN"/>
        </w:rPr>
        <w:t>，</w:t>
      </w:r>
      <w:r>
        <w:t>陈章宝.辛伐他汀胃漂浮型缓释片的制备及体外释放研究[J].西北药学杂志</w:t>
      </w:r>
      <w:r>
        <w:rPr>
          <w:rFonts w:hint="eastAsia"/>
          <w:lang w:eastAsia="zh-CN"/>
        </w:rPr>
        <w:t>，</w:t>
      </w:r>
      <w:r>
        <w:t>2012</w:t>
      </w:r>
      <w:r>
        <w:rPr>
          <w:rFonts w:hint="eastAsia"/>
          <w:lang w:eastAsia="zh-CN"/>
        </w:rPr>
        <w:t>，</w:t>
      </w:r>
      <w:r>
        <w:t>2702</w:t>
      </w:r>
      <w:r>
        <w:rPr>
          <w:rFonts w:hint="eastAsia"/>
          <w:lang w:eastAsia="zh-CN"/>
        </w:rPr>
        <w:t>：</w:t>
      </w:r>
      <w:r>
        <w:t>147-149.</w:t>
      </w:r>
    </w:p>
    <w:p w14:paraId="52D426AB">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15</w:t>
      </w:r>
      <w:r>
        <w:rPr>
          <w:rFonts w:hint="default" w:ascii="宋体" w:hAnsi="宋体" w:eastAsia="宋体" w:cs="宋体"/>
          <w:b w:val="0"/>
          <w:kern w:val="2"/>
          <w:sz w:val="21"/>
          <w:szCs w:val="21"/>
          <w:lang w:bidi="ar-SA"/>
        </w:rPr>
        <w:t>]</w:t>
      </w:r>
      <w:r>
        <w:t>包星海</w:t>
      </w:r>
      <w:r>
        <w:rPr>
          <w:rFonts w:hint="eastAsia"/>
          <w:lang w:eastAsia="zh-CN"/>
        </w:rPr>
        <w:t>，</w:t>
      </w:r>
      <w:r>
        <w:t>栾立标.对药物缓控释制剂的研究进展[J].当代医药论丛</w:t>
      </w:r>
      <w:r>
        <w:rPr>
          <w:rFonts w:hint="eastAsia"/>
          <w:lang w:eastAsia="zh-CN"/>
        </w:rPr>
        <w:t>，</w:t>
      </w:r>
      <w:r>
        <w:t>2017</w:t>
      </w:r>
      <w:r>
        <w:rPr>
          <w:rFonts w:hint="eastAsia"/>
          <w:lang w:eastAsia="zh-CN"/>
        </w:rPr>
        <w:t>，</w:t>
      </w:r>
      <w:r>
        <w:t>15(23)</w:t>
      </w:r>
      <w:r>
        <w:rPr>
          <w:rFonts w:hint="eastAsia"/>
          <w:lang w:eastAsia="zh-CN"/>
        </w:rPr>
        <w:t>：</w:t>
      </w:r>
      <w:r>
        <w:t>36-37.</w:t>
      </w:r>
    </w:p>
    <w:p w14:paraId="70FAD478">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16</w:t>
      </w:r>
      <w:r>
        <w:rPr>
          <w:rFonts w:hint="default" w:ascii="宋体" w:hAnsi="宋体" w:eastAsia="宋体" w:cs="宋体"/>
          <w:b w:val="0"/>
          <w:kern w:val="2"/>
          <w:sz w:val="21"/>
          <w:szCs w:val="21"/>
          <w:lang w:bidi="ar-SA"/>
        </w:rPr>
        <w:t>]</w:t>
      </w:r>
      <w:r>
        <w:t>杜宇</w:t>
      </w:r>
      <w:r>
        <w:rPr>
          <w:rFonts w:hint="eastAsia"/>
          <w:lang w:eastAsia="zh-CN"/>
        </w:rPr>
        <w:t>，</w:t>
      </w:r>
      <w:r>
        <w:t>于明玉</w:t>
      </w:r>
      <w:r>
        <w:rPr>
          <w:rFonts w:hint="eastAsia"/>
          <w:lang w:eastAsia="zh-CN"/>
        </w:rPr>
        <w:t>，</w:t>
      </w:r>
      <w:r>
        <w:t>刘志军.辛伐他汀多效药理作用在临床应用新进展[J].临床医药文献电子杂志</w:t>
      </w:r>
      <w:r>
        <w:rPr>
          <w:rFonts w:hint="eastAsia"/>
          <w:lang w:eastAsia="zh-CN"/>
        </w:rPr>
        <w:t>，</w:t>
      </w:r>
      <w:r>
        <w:t>2017</w:t>
      </w:r>
      <w:r>
        <w:rPr>
          <w:rFonts w:hint="eastAsia"/>
          <w:lang w:eastAsia="zh-CN"/>
        </w:rPr>
        <w:t>，</w:t>
      </w:r>
      <w:r>
        <w:t>4(66)</w:t>
      </w:r>
      <w:r>
        <w:rPr>
          <w:rFonts w:hint="eastAsia"/>
          <w:lang w:eastAsia="zh-CN"/>
        </w:rPr>
        <w:t>：</w:t>
      </w:r>
      <w:r>
        <w:t>13061-13063.</w:t>
      </w:r>
    </w:p>
    <w:p w14:paraId="2EBE838E">
      <w:pPr>
        <w:pStyle w:val="8"/>
        <w:widowControl/>
        <w:numPr>
          <w:ilvl w:val="0"/>
          <w:numId w:val="0"/>
        </w:numPr>
        <w:ind w:left="425" w:leftChars="0" w:hanging="425" w:firstLineChars="0"/>
        <w:rPr>
          <w:rFonts w:hint="eastAsia" w:ascii="宋体" w:hAnsi="宋体" w:eastAsia="宋体" w:cs="宋体"/>
          <w:b w:val="0"/>
        </w:rPr>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17</w:t>
      </w:r>
      <w:r>
        <w:rPr>
          <w:rFonts w:hint="default" w:ascii="宋体" w:hAnsi="宋体" w:eastAsia="宋体" w:cs="宋体"/>
          <w:b w:val="0"/>
          <w:kern w:val="2"/>
          <w:sz w:val="21"/>
          <w:szCs w:val="21"/>
          <w:lang w:bidi="ar-SA"/>
        </w:rPr>
        <w:t>]</w:t>
      </w:r>
      <w:r>
        <w:t>张宏梅</w:t>
      </w:r>
      <w:r>
        <w:rPr>
          <w:rFonts w:hint="eastAsia"/>
          <w:lang w:eastAsia="zh-CN"/>
        </w:rPr>
        <w:t>，</w:t>
      </w:r>
      <w:r>
        <w:t>崔佰吉</w:t>
      </w:r>
      <w:r>
        <w:rPr>
          <w:rFonts w:hint="eastAsia"/>
          <w:lang w:eastAsia="zh-CN"/>
        </w:rPr>
        <w:t>，</w:t>
      </w:r>
      <w:r>
        <w:t>邰红娟.洛伐他汀缓释片的制备及其体外释放度的评价[J].吉林医药学院学报</w:t>
      </w:r>
      <w:r>
        <w:rPr>
          <w:rFonts w:hint="eastAsia"/>
          <w:lang w:eastAsia="zh-CN"/>
        </w:rPr>
        <w:t>，</w:t>
      </w:r>
      <w:r>
        <w:t>2017</w:t>
      </w:r>
      <w:r>
        <w:rPr>
          <w:rFonts w:hint="eastAsia"/>
          <w:lang w:eastAsia="zh-CN"/>
        </w:rPr>
        <w:t>，</w:t>
      </w:r>
      <w:r>
        <w:t>38(02)</w:t>
      </w:r>
      <w:r>
        <w:rPr>
          <w:rFonts w:hint="eastAsia"/>
          <w:lang w:eastAsia="zh-CN"/>
        </w:rPr>
        <w:t>：</w:t>
      </w:r>
      <w:r>
        <w:t>87-90.</w:t>
      </w:r>
    </w:p>
    <w:p w14:paraId="03FF4166">
      <w:pPr>
        <w:pStyle w:val="8"/>
        <w:widowControl/>
        <w:numPr>
          <w:ilvl w:val="0"/>
          <w:numId w:val="0"/>
        </w:numPr>
        <w:ind w:left="425" w:leftChars="0" w:hanging="425" w:firstLineChars="0"/>
      </w:pPr>
      <w:r>
        <w:rPr>
          <w:rFonts w:hint="default" w:ascii="宋体" w:hAnsi="宋体" w:eastAsia="宋体" w:cs="宋体"/>
          <w:b w:val="0"/>
          <w:kern w:val="2"/>
          <w:sz w:val="21"/>
          <w:szCs w:val="21"/>
          <w:lang w:bidi="ar-SA"/>
        </w:rPr>
        <w:t>[</w:t>
      </w:r>
      <w:r>
        <w:rPr>
          <w:rFonts w:hint="eastAsia" w:ascii="宋体" w:hAnsi="宋体" w:cs="宋体"/>
          <w:b w:val="0"/>
          <w:kern w:val="2"/>
          <w:sz w:val="21"/>
          <w:szCs w:val="21"/>
          <w:lang w:val="en-US" w:eastAsia="zh-CN" w:bidi="ar-SA"/>
        </w:rPr>
        <w:t>18</w:t>
      </w:r>
      <w:r>
        <w:rPr>
          <w:rFonts w:hint="default" w:ascii="宋体" w:hAnsi="宋体" w:eastAsia="宋体" w:cs="宋体"/>
          <w:b w:val="0"/>
          <w:kern w:val="2"/>
          <w:sz w:val="21"/>
          <w:szCs w:val="21"/>
          <w:lang w:bidi="ar-SA"/>
        </w:rPr>
        <w:t>]</w:t>
      </w:r>
      <w:r>
        <w:t>吴谧</w:t>
      </w:r>
      <w:r>
        <w:rPr>
          <w:rFonts w:hint="eastAsia"/>
          <w:lang w:eastAsia="zh-CN"/>
        </w:rPr>
        <w:t>，</w:t>
      </w:r>
      <w:r>
        <w:t>于兰</w:t>
      </w:r>
      <w:r>
        <w:rPr>
          <w:rFonts w:hint="eastAsia"/>
          <w:lang w:eastAsia="zh-CN"/>
        </w:rPr>
        <w:t>，</w:t>
      </w:r>
      <w:r>
        <w:t>马苗锐</w:t>
      </w:r>
      <w:r>
        <w:rPr>
          <w:rFonts w:hint="eastAsia"/>
          <w:lang w:eastAsia="zh-CN"/>
        </w:rPr>
        <w:t>，</w:t>
      </w:r>
      <w:r>
        <w:t>张丽霞.洛伐他汀缓释片的处方筛选及制备[J].煤炭与化工</w:t>
      </w:r>
      <w:r>
        <w:rPr>
          <w:rFonts w:hint="eastAsia"/>
          <w:lang w:eastAsia="zh-CN"/>
        </w:rPr>
        <w:t>，</w:t>
      </w:r>
      <w:r>
        <w:t>2014</w:t>
      </w:r>
      <w:r>
        <w:rPr>
          <w:rFonts w:hint="eastAsia"/>
          <w:lang w:eastAsia="zh-CN"/>
        </w:rPr>
        <w:t>，</w:t>
      </w:r>
      <w:r>
        <w:t>37(05)</w:t>
      </w:r>
      <w:r>
        <w:rPr>
          <w:rFonts w:hint="eastAsia"/>
          <w:lang w:eastAsia="zh-CN"/>
        </w:rPr>
        <w:t>：</w:t>
      </w:r>
      <w:r>
        <w:t>106-108.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DEBEE"/>
    <w:multiLevelType w:val="singleLevel"/>
    <w:tmpl w:val="756DEBEE"/>
    <w:lvl w:ilvl="0" w:tentative="0">
      <w:start w:val="1"/>
      <w:numFmt w:val="decimal"/>
      <w:suff w:val="space"/>
      <w:lvlText w:val="(%1)"/>
      <w:lvlJc w:val="left"/>
      <w:pPr>
        <w:ind w:left="0" w:firstLine="4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71478"/>
    <w:rsid w:val="0CFA27C2"/>
    <w:rsid w:val="133E5727"/>
    <w:rsid w:val="13F830F7"/>
    <w:rsid w:val="17043AF4"/>
    <w:rsid w:val="1A676102"/>
    <w:rsid w:val="1D837D50"/>
    <w:rsid w:val="23F332AB"/>
    <w:rsid w:val="27103A72"/>
    <w:rsid w:val="3FAE3F57"/>
    <w:rsid w:val="43CF373C"/>
    <w:rsid w:val="4E7E5B06"/>
    <w:rsid w:val="52D0220E"/>
    <w:rsid w:val="52D85054"/>
    <w:rsid w:val="5516017D"/>
    <w:rsid w:val="58F959E5"/>
    <w:rsid w:val="61920D73"/>
    <w:rsid w:val="69614E31"/>
    <w:rsid w:val="732A0983"/>
    <w:rsid w:val="78414C61"/>
    <w:rsid w:val="78FA19E0"/>
    <w:rsid w:val="7C4371FA"/>
    <w:rsid w:val="7E766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customStyle="1" w:styleId="7">
    <w:name w:val="章标题"/>
    <w:next w:val="1"/>
    <w:qFormat/>
    <w:uiPriority w:val="0"/>
    <w:pPr>
      <w:widowControl w:val="0"/>
      <w:adjustRightInd w:val="0"/>
      <w:spacing w:before="100" w:after="100" w:line="360" w:lineRule="auto"/>
      <w:jc w:val="center"/>
      <w:outlineLvl w:val="0"/>
    </w:pPr>
    <w:rPr>
      <w:rFonts w:ascii="Times New Roman" w:hAnsi="Times New Roman" w:eastAsia="黑体" w:cs="Times New Roman"/>
      <w:kern w:val="44"/>
      <w:sz w:val="36"/>
      <w:szCs w:val="44"/>
      <w:lang w:bidi="ar-SA"/>
    </w:rPr>
  </w:style>
  <w:style w:type="paragraph" w:customStyle="1" w:styleId="8">
    <w:name w:val="参考文献条目"/>
    <w:next w:val="1"/>
    <w:qFormat/>
    <w:uiPriority w:val="0"/>
    <w:pPr>
      <w:widowControl w:val="0"/>
      <w:adjustRightInd w:val="0"/>
      <w:spacing w:line="300" w:lineRule="auto"/>
      <w:ind w:left="200" w:hanging="200" w:hangingChars="200"/>
      <w:jc w:val="both"/>
    </w:pPr>
    <w:rPr>
      <w:rFonts w:ascii="Times New Roman" w:hAnsi="Times New Roman" w:eastAsia="宋体" w:cs="宋体"/>
      <w:kern w:val="2"/>
      <w:sz w:val="21"/>
      <w:szCs w:val="21"/>
      <w:lang w:bidi="ar-SA"/>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4437</Words>
  <Characters>5024</Characters>
  <Lines>0</Lines>
  <Paragraphs>0</Paragraphs>
  <TotalTime>25</TotalTime>
  <ScaleCrop>false</ScaleCrop>
  <LinksUpToDate>false</LinksUpToDate>
  <CharactersWithSpaces>5106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2026-03-14T02:30:00Z</dcterms:created>
  <dc:creator>niu</dc:creator>
  <cp:lastModifiedBy>闲云野鹤</cp:lastModifiedBy>
  <dcterms:modified xsi:type="dcterms:W3CDTF">2026-03-14T13:22:59Z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eyJoZGlkIjoiN2ZhNGIyZWFlMjRiOTk4NWUwYWRiYjE0ZDkyMTEyMGUiLCJ1c2VySWQiOiI0NTcxNjU1MzcifQ==</vt:lpwstr>
  </property>
  <property fmtid="{D5CDD505-2E9C-101B-9397-08002B2CF9AE}" pid="4" name="ICV">
    <vt:lpwstr>82863CB952F249CD9FD159D1A172E8DB_12</vt:lpwstr>
  </property>
</Properties>
</file>