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78B775">
      <w:pPr>
        <w:jc w:val="center"/>
        <w:rPr>
          <w:rFonts w:hint="eastAsia" w:ascii="Times New Roman" w:hAnsi="Times New Roman" w:eastAsia="黑体" w:cs="Times New Roman"/>
          <w:b/>
          <w:bCs/>
          <w:szCs w:val="22"/>
          <w14:ligatures w14:val="standardContextual"/>
        </w:rPr>
      </w:pPr>
    </w:p>
    <w:p w14:paraId="2F22BA6D">
      <w:pPr>
        <w:jc w:val="center"/>
        <w:rPr>
          <w:rFonts w:hint="eastAsia" w:ascii="Times New Roman" w:hAnsi="Times New Roman" w:eastAsia="黑体" w:cs="Times New Roman"/>
          <w:b/>
          <w:bCs/>
          <w:szCs w:val="22"/>
          <w14:ligatures w14:val="standardContextual"/>
        </w:rPr>
      </w:pPr>
    </w:p>
    <w:p w14:paraId="6256C6E8">
      <w:pPr>
        <w:jc w:val="center"/>
        <w:rPr>
          <w:rFonts w:hint="eastAsia" w:ascii="Times New Roman" w:hAnsi="Times New Roman" w:eastAsia="黑体" w:cs="Times New Roman"/>
          <w:b/>
          <w:bCs/>
          <w:szCs w:val="22"/>
          <w14:ligatures w14:val="standardContextual"/>
        </w:rPr>
      </w:pPr>
    </w:p>
    <w:p w14:paraId="6E95DB8E">
      <w:pPr>
        <w:jc w:val="center"/>
        <w:rPr>
          <w:rFonts w:hint="eastAsia" w:ascii="Times New Roman" w:hAnsi="Times New Roman" w:eastAsia="黑体" w:cs="Times New Roman"/>
          <w:b/>
          <w:bCs/>
          <w:sz w:val="32"/>
          <w:szCs w:val="32"/>
          <w14:ligatures w14:val="standardContextual"/>
        </w:rPr>
      </w:pPr>
      <w:r>
        <w:rPr>
          <w:rFonts w:ascii="Times New Roman" w:hAnsi="Times New Roman" w:eastAsia="黑体" w:cs="Times New Roman"/>
          <w:b/>
          <w:bCs/>
          <w:sz w:val="32"/>
          <w:szCs w:val="32"/>
          <w14:ligatures w14:val="standardContextual"/>
        </w:rPr>
        <w:t>身边的文化遗产-</w:t>
      </w:r>
      <w:r>
        <w:rPr>
          <w:rFonts w:hint="eastAsia" w:ascii="Times New Roman" w:hAnsi="Times New Roman" w:eastAsia="黑体" w:cs="Times New Roman"/>
          <w:b/>
          <w:bCs/>
          <w:sz w:val="32"/>
          <w:szCs w:val="32"/>
          <w14:ligatures w14:val="standardContextual"/>
        </w:rPr>
        <w:t>过程</w:t>
      </w:r>
      <w:r>
        <w:rPr>
          <w:rFonts w:ascii="Times New Roman" w:hAnsi="Times New Roman" w:eastAsia="黑体" w:cs="Times New Roman"/>
          <w:b/>
          <w:bCs/>
          <w:sz w:val="32"/>
          <w:szCs w:val="32"/>
          <w14:ligatures w14:val="standardContextual"/>
        </w:rPr>
        <w:t>报告</w:t>
      </w:r>
    </w:p>
    <w:p w14:paraId="6E8D5D33">
      <w:pPr>
        <w:jc w:val="center"/>
        <w:rPr>
          <w:rFonts w:hint="eastAsia" w:ascii="Times New Roman" w:hAnsi="Times New Roman" w:eastAsia="黑体" w:cs="Times New Roman"/>
          <w:b/>
          <w:bCs/>
          <w:sz w:val="32"/>
          <w:szCs w:val="32"/>
          <w14:ligatures w14:val="standardContextual"/>
        </w:rPr>
      </w:pPr>
    </w:p>
    <w:p w14:paraId="403D5155">
      <w:pPr>
        <w:jc w:val="center"/>
        <w:rPr>
          <w:rFonts w:hint="eastAsia" w:ascii="Times New Roman" w:hAnsi="Times New Roman" w:eastAsia="黑体" w:cs="Times New Roman"/>
          <w:b/>
          <w:bCs/>
          <w:sz w:val="32"/>
          <w:szCs w:val="32"/>
          <w14:ligatures w14:val="standardContextual"/>
        </w:rPr>
      </w:pPr>
    </w:p>
    <w:p w14:paraId="69C71A50">
      <w:pPr>
        <w:spacing w:line="360" w:lineRule="auto"/>
        <w:ind w:firstLine="562" w:firstLineChars="201"/>
        <w:jc w:val="left"/>
        <w:outlineLvl w:val="1"/>
        <w:rPr>
          <w:rFonts w:hint="eastAsia" w:cs="Arial" w:asciiTheme="minorEastAsia" w:hAnsiTheme="minorEastAsia"/>
          <w:sz w:val="28"/>
          <w:szCs w:val="28"/>
        </w:rPr>
      </w:pPr>
      <w:r>
        <w:rPr>
          <w:rFonts w:hint="eastAsia" w:cs="Arial" w:asciiTheme="minorEastAsia" w:hAnsiTheme="minorEastAsia"/>
          <w:sz w:val="28"/>
          <w:szCs w:val="28"/>
        </w:rPr>
        <w:t>学校：中国矿业大学附属中学</w:t>
      </w:r>
    </w:p>
    <w:p w14:paraId="195DE070">
      <w:pPr>
        <w:spacing w:line="360" w:lineRule="auto"/>
        <w:ind w:firstLine="562" w:firstLineChars="201"/>
        <w:jc w:val="left"/>
        <w:outlineLvl w:val="1"/>
        <w:rPr>
          <w:rFonts w:hint="eastAsia" w:cs="Arial" w:asciiTheme="minorEastAsia" w:hAnsiTheme="minorEastAsia"/>
          <w:sz w:val="28"/>
          <w:szCs w:val="28"/>
        </w:rPr>
      </w:pPr>
      <w:r>
        <w:rPr>
          <w:rFonts w:hint="eastAsia" w:cs="Arial" w:asciiTheme="minorEastAsia" w:hAnsiTheme="minorEastAsia"/>
          <w:sz w:val="28"/>
          <w:szCs w:val="28"/>
        </w:rPr>
        <w:t>班级：初二（3）班</w:t>
      </w:r>
    </w:p>
    <w:p w14:paraId="43A49974">
      <w:pPr>
        <w:spacing w:line="360" w:lineRule="auto"/>
        <w:ind w:firstLine="562" w:firstLineChars="201"/>
        <w:jc w:val="left"/>
        <w:outlineLvl w:val="1"/>
        <w:rPr>
          <w:rFonts w:hint="eastAsia" w:cs="Arial" w:asciiTheme="minorEastAsia" w:hAnsiTheme="minorEastAsia"/>
          <w:sz w:val="28"/>
          <w:szCs w:val="28"/>
        </w:rPr>
      </w:pPr>
      <w:r>
        <w:rPr>
          <w:rFonts w:hint="eastAsia" w:cs="Arial" w:asciiTheme="minorEastAsia" w:hAnsiTheme="minorEastAsia"/>
          <w:sz w:val="28"/>
          <w:szCs w:val="28"/>
        </w:rPr>
        <w:t xml:space="preserve">课题成员：尹鸿锦  </w:t>
      </w:r>
    </w:p>
    <w:p w14:paraId="063E34A0">
      <w:pPr>
        <w:spacing w:line="360" w:lineRule="auto"/>
        <w:ind w:firstLine="562" w:firstLineChars="201"/>
        <w:jc w:val="left"/>
        <w:outlineLvl w:val="1"/>
        <w:rPr>
          <w:rFonts w:hint="eastAsia" w:cs="Arial" w:asciiTheme="minorEastAsia" w:hAnsiTheme="minorEastAsia"/>
          <w:sz w:val="28"/>
          <w:szCs w:val="28"/>
        </w:rPr>
      </w:pPr>
      <w:r>
        <w:rPr>
          <w:rFonts w:hint="eastAsia" w:cs="Arial" w:asciiTheme="minorEastAsia" w:hAnsiTheme="minorEastAsia"/>
          <w:sz w:val="28"/>
          <w:szCs w:val="28"/>
        </w:rPr>
        <w:t>指导老师：韩书文</w:t>
      </w:r>
    </w:p>
    <w:p w14:paraId="37C77D77">
      <w:pPr>
        <w:spacing w:line="360" w:lineRule="auto"/>
        <w:ind w:firstLine="562" w:firstLineChars="201"/>
        <w:jc w:val="left"/>
        <w:outlineLvl w:val="1"/>
        <w:rPr>
          <w:rFonts w:hint="eastAsia" w:cs="Arial" w:asciiTheme="minorEastAsia" w:hAnsiTheme="minorEastAsia"/>
          <w:sz w:val="28"/>
          <w:szCs w:val="28"/>
        </w:rPr>
      </w:pPr>
      <w:r>
        <w:rPr>
          <w:rFonts w:hint="eastAsia" w:cs="Arial" w:asciiTheme="minorEastAsia" w:hAnsiTheme="minorEastAsia"/>
          <w:sz w:val="28"/>
          <w:szCs w:val="28"/>
          <w:lang w:val="en-US" w:eastAsia="zh-CN"/>
        </w:rPr>
        <w:t>时间：</w:t>
      </w:r>
      <w:r>
        <w:rPr>
          <w:rFonts w:hint="eastAsia" w:cs="Arial" w:asciiTheme="minorEastAsia" w:hAnsiTheme="minorEastAsia"/>
          <w:sz w:val="28"/>
          <w:szCs w:val="28"/>
        </w:rPr>
        <w:t>2026年3月1号</w:t>
      </w:r>
    </w:p>
    <w:p w14:paraId="6DFE14D9">
      <w:pPr>
        <w:spacing w:line="360" w:lineRule="auto"/>
        <w:ind w:firstLine="562" w:firstLineChars="201"/>
        <w:jc w:val="left"/>
        <w:outlineLvl w:val="1"/>
        <w:rPr>
          <w:rFonts w:hint="eastAsia" w:cs="Arial" w:asciiTheme="minorEastAsia" w:hAnsiTheme="minorEastAsia"/>
          <w:sz w:val="28"/>
          <w:szCs w:val="28"/>
        </w:rPr>
      </w:pPr>
      <w:bookmarkStart w:id="0" w:name="_GoBack"/>
      <w:bookmarkEnd w:id="0"/>
      <w:r>
        <w:rPr>
          <w:rFonts w:hint="eastAsia" w:cs="Arial" w:asciiTheme="minorEastAsia" w:hAnsiTheme="minorEastAsia"/>
          <w:sz w:val="28"/>
          <w:szCs w:val="28"/>
        </w:rPr>
        <w:t xml:space="preserve"> </w:t>
      </w:r>
    </w:p>
    <w:p w14:paraId="6D36258D">
      <w:pPr>
        <w:jc w:val="center"/>
        <w:rPr>
          <w:rFonts w:hint="eastAsia" w:ascii="Times New Roman" w:hAnsi="Times New Roman" w:eastAsia="黑体" w:cs="Times New Roman"/>
          <w:b/>
          <w:bCs/>
          <w:szCs w:val="22"/>
          <w14:ligatures w14:val="standardContextual"/>
        </w:rPr>
      </w:pPr>
    </w:p>
    <w:p w14:paraId="6840BB67">
      <w:pPr>
        <w:jc w:val="center"/>
        <w:rPr>
          <w:rFonts w:hint="eastAsia" w:ascii="Times New Roman" w:hAnsi="Times New Roman" w:eastAsia="黑体" w:cs="Times New Roman"/>
          <w:b/>
          <w:bCs/>
          <w:szCs w:val="22"/>
          <w14:ligatures w14:val="standardContextual"/>
        </w:rPr>
      </w:pPr>
    </w:p>
    <w:p w14:paraId="16624885">
      <w:pPr>
        <w:jc w:val="center"/>
        <w:rPr>
          <w:rFonts w:hint="eastAsia" w:ascii="Times New Roman" w:hAnsi="Times New Roman" w:eastAsia="黑体" w:cs="Times New Roman"/>
          <w:b/>
          <w:bCs/>
          <w:szCs w:val="22"/>
          <w14:ligatures w14:val="standardContextual"/>
        </w:rPr>
      </w:pPr>
    </w:p>
    <w:p w14:paraId="5384D195">
      <w:pPr>
        <w:jc w:val="center"/>
        <w:rPr>
          <w:rFonts w:hint="eastAsia" w:ascii="Times New Roman" w:hAnsi="Times New Roman" w:eastAsia="黑体" w:cs="Times New Roman"/>
          <w:b/>
          <w:bCs/>
          <w:szCs w:val="22"/>
          <w14:ligatures w14:val="standardContextual"/>
        </w:rPr>
      </w:pPr>
    </w:p>
    <w:p w14:paraId="296934F8">
      <w:pPr>
        <w:jc w:val="center"/>
        <w:rPr>
          <w:rFonts w:hint="eastAsia" w:ascii="Times New Roman" w:hAnsi="Times New Roman" w:eastAsia="黑体" w:cs="Times New Roman"/>
          <w:b/>
          <w:bCs/>
          <w:szCs w:val="22"/>
          <w14:ligatures w14:val="standardContextual"/>
        </w:rPr>
      </w:pPr>
    </w:p>
    <w:p w14:paraId="4421E0E4">
      <w:pPr>
        <w:jc w:val="center"/>
        <w:rPr>
          <w:rFonts w:hint="eastAsia" w:ascii="Times New Roman" w:hAnsi="Times New Roman" w:eastAsia="黑体" w:cs="Times New Roman"/>
          <w:b/>
          <w:bCs/>
          <w:szCs w:val="22"/>
          <w14:ligatures w14:val="standardContextual"/>
        </w:rPr>
      </w:pPr>
    </w:p>
    <w:p w14:paraId="62BD59A7">
      <w:pPr>
        <w:jc w:val="center"/>
        <w:rPr>
          <w:rFonts w:hint="eastAsia" w:ascii="Times New Roman" w:hAnsi="Times New Roman" w:eastAsia="黑体" w:cs="Times New Roman"/>
          <w:b/>
          <w:bCs/>
          <w:szCs w:val="22"/>
          <w14:ligatures w14:val="standardContextual"/>
        </w:rPr>
      </w:pPr>
    </w:p>
    <w:p w14:paraId="152538CF">
      <w:pPr>
        <w:jc w:val="center"/>
        <w:rPr>
          <w:rFonts w:hint="eastAsia" w:ascii="Times New Roman" w:hAnsi="Times New Roman" w:eastAsia="黑体" w:cs="Times New Roman"/>
          <w:b/>
          <w:bCs/>
          <w:szCs w:val="22"/>
          <w14:ligatures w14:val="standardContextual"/>
        </w:rPr>
      </w:pPr>
    </w:p>
    <w:p w14:paraId="50010835">
      <w:pPr>
        <w:jc w:val="center"/>
        <w:rPr>
          <w:rFonts w:hint="eastAsia" w:ascii="Times New Roman" w:hAnsi="Times New Roman" w:eastAsia="黑体" w:cs="Times New Roman"/>
          <w:b/>
          <w:bCs/>
          <w:szCs w:val="22"/>
          <w14:ligatures w14:val="standardContextual"/>
        </w:rPr>
      </w:pPr>
    </w:p>
    <w:p w14:paraId="52A4BD22">
      <w:pPr>
        <w:jc w:val="center"/>
        <w:rPr>
          <w:rFonts w:hint="eastAsia" w:ascii="Times New Roman" w:hAnsi="Times New Roman" w:eastAsia="黑体" w:cs="Times New Roman"/>
          <w:b/>
          <w:bCs/>
          <w:szCs w:val="22"/>
          <w14:ligatures w14:val="standardContextual"/>
        </w:rPr>
      </w:pPr>
    </w:p>
    <w:p w14:paraId="14F8A010">
      <w:pPr>
        <w:jc w:val="center"/>
        <w:rPr>
          <w:rFonts w:hint="eastAsia" w:ascii="Times New Roman" w:hAnsi="Times New Roman" w:eastAsia="黑体" w:cs="Times New Roman"/>
          <w:b/>
          <w:bCs/>
          <w:szCs w:val="22"/>
          <w14:ligatures w14:val="standardContextual"/>
        </w:rPr>
      </w:pPr>
    </w:p>
    <w:p w14:paraId="21215012">
      <w:pPr>
        <w:jc w:val="center"/>
        <w:rPr>
          <w:rFonts w:hint="eastAsia" w:ascii="Times New Roman" w:hAnsi="Times New Roman" w:eastAsia="黑体" w:cs="Times New Roman"/>
          <w:b/>
          <w:bCs/>
          <w:szCs w:val="22"/>
          <w14:ligatures w14:val="standardContextual"/>
        </w:rPr>
      </w:pPr>
    </w:p>
    <w:p w14:paraId="1609763E">
      <w:pPr>
        <w:jc w:val="center"/>
        <w:rPr>
          <w:rFonts w:hint="eastAsia" w:ascii="Times New Roman" w:hAnsi="Times New Roman" w:eastAsia="黑体" w:cs="Times New Roman"/>
          <w:b/>
          <w:bCs/>
          <w:szCs w:val="22"/>
          <w14:ligatures w14:val="standardContextual"/>
        </w:rPr>
      </w:pPr>
    </w:p>
    <w:p w14:paraId="0409E8BE">
      <w:pPr>
        <w:jc w:val="center"/>
        <w:rPr>
          <w:rFonts w:hint="eastAsia" w:ascii="Times New Roman" w:hAnsi="Times New Roman" w:eastAsia="黑体" w:cs="Times New Roman"/>
          <w:b/>
          <w:bCs/>
          <w:szCs w:val="22"/>
          <w14:ligatures w14:val="standardContextual"/>
        </w:rPr>
      </w:pPr>
    </w:p>
    <w:p w14:paraId="0B3267B1">
      <w:pPr>
        <w:jc w:val="center"/>
        <w:rPr>
          <w:rFonts w:hint="eastAsia" w:ascii="Times New Roman" w:hAnsi="Times New Roman" w:eastAsia="黑体" w:cs="Times New Roman"/>
          <w:b/>
          <w:bCs/>
          <w:szCs w:val="22"/>
          <w14:ligatures w14:val="standardContextual"/>
        </w:rPr>
      </w:pPr>
    </w:p>
    <w:p w14:paraId="27C09A4A">
      <w:pPr>
        <w:jc w:val="center"/>
        <w:rPr>
          <w:rFonts w:hint="eastAsia" w:ascii="Times New Roman" w:hAnsi="Times New Roman" w:eastAsia="黑体" w:cs="Times New Roman"/>
          <w:b/>
          <w:bCs/>
          <w:szCs w:val="22"/>
          <w14:ligatures w14:val="standardContextual"/>
        </w:rPr>
      </w:pPr>
    </w:p>
    <w:p w14:paraId="22EBCA13">
      <w:pPr>
        <w:jc w:val="center"/>
        <w:rPr>
          <w:rFonts w:hint="eastAsia" w:ascii="Times New Roman" w:hAnsi="Times New Roman" w:eastAsia="黑体" w:cs="Times New Roman"/>
          <w:b/>
          <w:bCs/>
          <w:szCs w:val="22"/>
          <w14:ligatures w14:val="standardContextual"/>
        </w:rPr>
      </w:pPr>
    </w:p>
    <w:p w14:paraId="36198DEB">
      <w:pPr>
        <w:jc w:val="center"/>
        <w:rPr>
          <w:rFonts w:hint="eastAsia" w:ascii="Times New Roman" w:hAnsi="Times New Roman" w:eastAsia="黑体" w:cs="Times New Roman"/>
          <w:b/>
          <w:bCs/>
          <w:szCs w:val="22"/>
          <w14:ligatures w14:val="standardContextual"/>
        </w:rPr>
      </w:pPr>
    </w:p>
    <w:p w14:paraId="0D664FD5">
      <w:pPr>
        <w:jc w:val="center"/>
        <w:rPr>
          <w:rFonts w:hint="eastAsia" w:ascii="Times New Roman" w:hAnsi="Times New Roman" w:eastAsia="黑体" w:cs="Times New Roman"/>
          <w:b/>
          <w:bCs/>
          <w:szCs w:val="22"/>
          <w14:ligatures w14:val="standardContextual"/>
        </w:rPr>
      </w:pPr>
    </w:p>
    <w:p w14:paraId="29116197">
      <w:pPr>
        <w:jc w:val="center"/>
        <w:rPr>
          <w:rFonts w:hint="eastAsia" w:ascii="Times New Roman" w:hAnsi="Times New Roman" w:eastAsia="黑体" w:cs="Times New Roman"/>
          <w:b/>
          <w:bCs/>
          <w:szCs w:val="22"/>
          <w14:ligatures w14:val="standardContextual"/>
        </w:rPr>
      </w:pPr>
    </w:p>
    <w:p w14:paraId="1AD9B513">
      <w:pPr>
        <w:jc w:val="center"/>
        <w:rPr>
          <w:rFonts w:hint="eastAsia" w:ascii="Times New Roman" w:hAnsi="Times New Roman" w:eastAsia="黑体" w:cs="Times New Roman"/>
          <w:b/>
          <w:bCs/>
          <w:szCs w:val="22"/>
          <w14:ligatures w14:val="standardContextual"/>
        </w:rPr>
      </w:pPr>
    </w:p>
    <w:p w14:paraId="2D045DDD">
      <w:pPr>
        <w:jc w:val="center"/>
        <w:rPr>
          <w:rFonts w:hint="eastAsia" w:ascii="Times New Roman" w:hAnsi="Times New Roman" w:eastAsia="黑体" w:cs="Times New Roman"/>
          <w:b/>
          <w:bCs/>
          <w:szCs w:val="22"/>
          <w14:ligatures w14:val="standardContextual"/>
        </w:rPr>
      </w:pPr>
    </w:p>
    <w:p w14:paraId="1B91B776">
      <w:pPr>
        <w:jc w:val="center"/>
        <w:rPr>
          <w:rFonts w:hint="eastAsia" w:ascii="Times New Roman" w:hAnsi="Times New Roman" w:eastAsia="黑体" w:cs="Times New Roman"/>
          <w:b/>
          <w:bCs/>
          <w:szCs w:val="22"/>
          <w14:ligatures w14:val="standardContextual"/>
        </w:rPr>
      </w:pPr>
    </w:p>
    <w:p w14:paraId="6FE9F3A0">
      <w:pPr>
        <w:rPr>
          <w:rFonts w:ascii="Times New Roman" w:hAnsi="Times New Roman" w:eastAsia="宋体" w:cs="Times New Roman"/>
          <w:b/>
          <w:bCs/>
          <w:szCs w:val="22"/>
          <w14:ligatures w14:val="standardContextual"/>
        </w:rPr>
      </w:pPr>
      <w:r>
        <w:rPr>
          <w:rFonts w:ascii="Times New Roman" w:hAnsi="Times New Roman" w:eastAsia="宋体" w:cs="Times New Roman"/>
          <w:b/>
          <w:bCs/>
          <w:szCs w:val="22"/>
          <w14:ligatures w14:val="standardContextual"/>
        </w:rPr>
        <w:t>（</w:t>
      </w:r>
      <w:r>
        <w:rPr>
          <w:rFonts w:hint="eastAsia" w:ascii="Times New Roman" w:hAnsi="Times New Roman" w:eastAsia="宋体" w:cs="Times New Roman"/>
          <w:b/>
          <w:bCs/>
          <w:szCs w:val="22"/>
          <w14:ligatures w14:val="standardContextual"/>
        </w:rPr>
        <w:t>一</w:t>
      </w:r>
      <w:r>
        <w:rPr>
          <w:rFonts w:ascii="Times New Roman" w:hAnsi="Times New Roman" w:eastAsia="宋体" w:cs="Times New Roman"/>
          <w:b/>
          <w:bCs/>
          <w:szCs w:val="22"/>
          <w14:ligatures w14:val="standardContextual"/>
        </w:rPr>
        <w:t>）研究实施</w:t>
      </w:r>
      <w:r>
        <w:rPr>
          <w:rFonts w:hint="eastAsia" w:ascii="Times New Roman" w:hAnsi="Times New Roman" w:eastAsia="宋体" w:cs="Times New Roman"/>
          <w:b/>
          <w:bCs/>
          <w:szCs w:val="22"/>
          <w14:ligatures w14:val="standardContextual"/>
        </w:rPr>
        <w:t>具体</w:t>
      </w:r>
      <w:r>
        <w:rPr>
          <w:rFonts w:ascii="Times New Roman" w:hAnsi="Times New Roman" w:eastAsia="宋体" w:cs="Times New Roman"/>
          <w:b/>
          <w:bCs/>
          <w:szCs w:val="22"/>
          <w14:ligatures w14:val="standardContextual"/>
        </w:rPr>
        <w:t>过程</w:t>
      </w:r>
    </w:p>
    <w:p w14:paraId="5AC51C5E">
      <w:pPr>
        <w:ind w:firstLine="420" w:firstLineChars="200"/>
        <w:rPr>
          <w:rFonts w:ascii="Times New Roman" w:hAnsi="Times New Roman" w:eastAsia="宋体" w:cs="Times New Roman"/>
          <w:szCs w:val="22"/>
          <w14:ligatures w14:val="standardContextual"/>
        </w:rPr>
      </w:pPr>
      <w:r>
        <w:rPr>
          <w:rFonts w:ascii="Times New Roman" w:hAnsi="Times New Roman" w:eastAsia="宋体" w:cs="Times New Roman"/>
          <w:szCs w:val="22"/>
          <w14:ligatures w14:val="standardContextual"/>
        </w:rPr>
        <w:t>第一阶段：课题启动与规划阶段（第1周）</w:t>
      </w:r>
    </w:p>
    <w:p w14:paraId="3FDC4687">
      <w:pPr>
        <w:ind w:firstLine="420" w:firstLineChars="200"/>
        <w:rPr>
          <w:rFonts w:ascii="Times New Roman" w:hAnsi="Times New Roman" w:eastAsia="宋体" w:cs="Times New Roman"/>
          <w:szCs w:val="22"/>
          <w14:ligatures w14:val="standardContextual"/>
        </w:rPr>
      </w:pPr>
      <w:r>
        <w:rPr>
          <w:rFonts w:ascii="Times New Roman" w:hAnsi="Times New Roman" w:eastAsia="宋体" w:cs="Times New Roman"/>
          <w:szCs w:val="22"/>
          <w14:ligatures w14:val="standardContextual"/>
        </w:rPr>
        <w:t>本阶段核心是确定研究方向，搭建研究框架。</w:t>
      </w:r>
      <w:r>
        <w:rPr>
          <w:rFonts w:hint="eastAsia" w:ascii="Times New Roman" w:hAnsi="Times New Roman" w:eastAsia="宋体" w:cs="Times New Roman"/>
          <w:szCs w:val="22"/>
          <w14:ligatures w14:val="standardContextual"/>
        </w:rPr>
        <w:t>我</w:t>
      </w:r>
      <w:r>
        <w:rPr>
          <w:rFonts w:ascii="Times New Roman" w:hAnsi="Times New Roman" w:eastAsia="宋体" w:cs="Times New Roman"/>
          <w:szCs w:val="22"/>
          <w14:ligatures w14:val="standardContextual"/>
        </w:rPr>
        <w:t>通过查阅徐州博物馆、徐州非遗保护中心官网的基础资料，明确了文化遗产的定义与分类，同时我制定了详细的周度研究计划，明确了每个阶段的核心任务，完成了开题报告的撰写，为后续研究打下了坚实基础。</w:t>
      </w:r>
    </w:p>
    <w:p w14:paraId="34449526">
      <w:pPr>
        <w:ind w:firstLine="420" w:firstLineChars="200"/>
        <w:rPr>
          <w:rFonts w:ascii="Times New Roman" w:hAnsi="Times New Roman" w:eastAsia="宋体" w:cs="Times New Roman"/>
          <w:szCs w:val="22"/>
          <w14:ligatures w14:val="standardContextual"/>
        </w:rPr>
      </w:pPr>
      <w:r>
        <w:rPr>
          <w:rFonts w:ascii="Times New Roman" w:hAnsi="Times New Roman" w:eastAsia="宋体" w:cs="Times New Roman"/>
          <w:szCs w:val="22"/>
          <w14:ligatures w14:val="standardContextual"/>
        </w:rPr>
        <w:t>第二阶段：实地调研与资料收集阶段（第2周）</w:t>
      </w:r>
    </w:p>
    <w:p w14:paraId="20C65F19">
      <w:pPr>
        <w:ind w:firstLine="420" w:firstLineChars="200"/>
        <w:rPr>
          <w:rFonts w:ascii="Times New Roman" w:hAnsi="Times New Roman" w:eastAsia="宋体" w:cs="Times New Roman"/>
          <w:szCs w:val="22"/>
          <w14:ligatures w14:val="standardContextual"/>
        </w:rPr>
      </w:pPr>
      <w:r>
        <w:rPr>
          <w:rFonts w:ascii="Times New Roman" w:hAnsi="Times New Roman" w:eastAsia="宋体" w:cs="Times New Roman"/>
          <w:szCs w:val="22"/>
          <w14:ligatures w14:val="standardContextual"/>
        </w:rPr>
        <w:t>我先后完成了徐州博物馆、狮子山楚王陵、龟山汉墓、汉画像石艺术馆、户部山古民居、徐州非遗馆</w:t>
      </w:r>
      <w:r>
        <w:rPr>
          <w:rFonts w:hint="eastAsia" w:ascii="Times New Roman" w:hAnsi="Times New Roman" w:eastAsia="宋体" w:cs="Times New Roman"/>
          <w:szCs w:val="22"/>
          <w14:ligatures w14:val="standardContextual"/>
        </w:rPr>
        <w:t>等地点的</w:t>
      </w:r>
      <w:r>
        <w:rPr>
          <w:rFonts w:ascii="Times New Roman" w:hAnsi="Times New Roman" w:eastAsia="宋体" w:cs="Times New Roman"/>
          <w:szCs w:val="22"/>
          <w14:ligatures w14:val="standardContextual"/>
        </w:rPr>
        <w:t>走访，拍摄实景照片</w:t>
      </w:r>
      <w:r>
        <w:rPr>
          <w:rFonts w:hint="eastAsia" w:ascii="Times New Roman" w:hAnsi="Times New Roman" w:eastAsia="宋体" w:cs="Times New Roman"/>
          <w:szCs w:val="22"/>
          <w14:ligatures w14:val="standardContextual"/>
        </w:rPr>
        <w:t>的同时</w:t>
      </w:r>
      <w:r>
        <w:rPr>
          <w:rFonts w:ascii="Times New Roman" w:hAnsi="Times New Roman" w:eastAsia="宋体" w:cs="Times New Roman"/>
          <w:szCs w:val="22"/>
          <w14:ligatures w14:val="standardContextual"/>
        </w:rPr>
        <w:t>记录景区</w:t>
      </w:r>
      <w:r>
        <w:rPr>
          <w:rFonts w:hint="eastAsia" w:ascii="Times New Roman" w:hAnsi="Times New Roman" w:eastAsia="宋体" w:cs="Times New Roman"/>
          <w:szCs w:val="22"/>
          <w14:ligatures w14:val="standardContextual"/>
        </w:rPr>
        <w:t>内及</w:t>
      </w:r>
      <w:r>
        <w:rPr>
          <w:rFonts w:ascii="Times New Roman" w:hAnsi="Times New Roman" w:eastAsia="宋体" w:cs="Times New Roman"/>
          <w:szCs w:val="22"/>
          <w14:ligatures w14:val="standardContextual"/>
        </w:rPr>
        <w:t>讲解员</w:t>
      </w:r>
      <w:r>
        <w:rPr>
          <w:rFonts w:hint="eastAsia" w:ascii="Times New Roman" w:hAnsi="Times New Roman" w:eastAsia="宋体" w:cs="Times New Roman"/>
          <w:szCs w:val="22"/>
          <w14:ligatures w14:val="standardContextual"/>
        </w:rPr>
        <w:t>的</w:t>
      </w:r>
      <w:r>
        <w:rPr>
          <w:rFonts w:ascii="Times New Roman" w:hAnsi="Times New Roman" w:eastAsia="宋体" w:cs="Times New Roman"/>
          <w:szCs w:val="22"/>
          <w14:ligatures w14:val="standardContextual"/>
        </w:rPr>
        <w:t>讲解内容</w:t>
      </w:r>
      <w:r>
        <w:rPr>
          <w:rFonts w:hint="eastAsia" w:ascii="Times New Roman" w:hAnsi="Times New Roman" w:eastAsia="宋体" w:cs="Times New Roman"/>
          <w:szCs w:val="22"/>
          <w14:ligatures w14:val="standardContextual"/>
        </w:rPr>
        <w:t>，也</w:t>
      </w:r>
      <w:r>
        <w:rPr>
          <w:rFonts w:ascii="Times New Roman" w:hAnsi="Times New Roman" w:eastAsia="宋体" w:cs="Times New Roman"/>
          <w:szCs w:val="22"/>
          <w14:ligatures w14:val="standardContextual"/>
        </w:rPr>
        <w:t>通过</w:t>
      </w:r>
      <w:r>
        <w:rPr>
          <w:rFonts w:hint="eastAsia" w:ascii="Times New Roman" w:hAnsi="Times New Roman" w:eastAsia="宋体" w:cs="Times New Roman"/>
          <w:szCs w:val="22"/>
          <w14:ligatures w14:val="standardContextual"/>
        </w:rPr>
        <w:t>网络</w:t>
      </w:r>
      <w:r>
        <w:rPr>
          <w:rFonts w:ascii="Times New Roman" w:hAnsi="Times New Roman" w:eastAsia="宋体" w:cs="Times New Roman"/>
          <w:szCs w:val="22"/>
          <w14:ligatures w14:val="standardContextual"/>
        </w:rPr>
        <w:t>收集了徐州</w:t>
      </w:r>
      <w:r>
        <w:rPr>
          <w:rFonts w:hint="eastAsia" w:ascii="Times New Roman" w:hAnsi="Times New Roman" w:eastAsia="宋体" w:cs="Times New Roman"/>
          <w:szCs w:val="22"/>
          <w14:ligatures w14:val="standardContextual"/>
        </w:rPr>
        <w:t>“</w:t>
      </w:r>
      <w:r>
        <w:rPr>
          <w:rFonts w:ascii="Times New Roman" w:hAnsi="Times New Roman" w:eastAsia="宋体" w:cs="Times New Roman"/>
          <w:szCs w:val="22"/>
          <w14:ligatures w14:val="standardContextual"/>
        </w:rPr>
        <w:t>汉代三绝</w:t>
      </w:r>
      <w:r>
        <w:rPr>
          <w:rFonts w:hint="eastAsia" w:ascii="Times New Roman" w:hAnsi="Times New Roman" w:eastAsia="宋体" w:cs="Times New Roman"/>
          <w:szCs w:val="22"/>
          <w14:ligatures w14:val="standardContextual"/>
        </w:rPr>
        <w:t>”</w:t>
      </w:r>
      <w:r>
        <w:rPr>
          <w:rFonts w:ascii="Times New Roman" w:hAnsi="Times New Roman" w:eastAsia="宋体" w:cs="Times New Roman"/>
          <w:szCs w:val="22"/>
          <w14:ligatures w14:val="standardContextual"/>
        </w:rPr>
        <w:t>的历史资料、徐州剪纸与香包的非遗传承信息、彭祖文化与伏羊节等民俗的相关</w:t>
      </w:r>
      <w:r>
        <w:rPr>
          <w:rFonts w:hint="eastAsia" w:ascii="Times New Roman" w:hAnsi="Times New Roman" w:eastAsia="宋体" w:cs="Times New Roman"/>
          <w:szCs w:val="22"/>
          <w14:ligatures w14:val="standardContextual"/>
        </w:rPr>
        <w:t>新闻报道。</w:t>
      </w:r>
    </w:p>
    <w:p w14:paraId="44A30873">
      <w:pPr>
        <w:ind w:firstLine="420" w:firstLineChars="200"/>
        <w:rPr>
          <w:rFonts w:ascii="Times New Roman" w:hAnsi="Times New Roman" w:eastAsia="宋体" w:cs="Times New Roman"/>
          <w:szCs w:val="22"/>
          <w14:ligatures w14:val="standardContextual"/>
        </w:rPr>
      </w:pPr>
      <w:r>
        <w:rPr>
          <w:rFonts w:ascii="Times New Roman" w:hAnsi="Times New Roman" w:eastAsia="宋体" w:cs="Times New Roman"/>
          <w:szCs w:val="22"/>
          <w14:ligatures w14:val="standardContextual"/>
        </w:rPr>
        <w:t>第三阶段：资料整理与内容创作阶段（第3</w:t>
      </w:r>
      <w:r>
        <w:rPr>
          <w:rFonts w:hint="eastAsia" w:ascii="Times New Roman" w:hAnsi="Times New Roman" w:eastAsia="宋体" w:cs="Times New Roman"/>
          <w:szCs w:val="22"/>
          <w14:ligatures w14:val="standardContextual"/>
        </w:rPr>
        <w:t>-4</w:t>
      </w:r>
      <w:r>
        <w:rPr>
          <w:rFonts w:ascii="Times New Roman" w:hAnsi="Times New Roman" w:eastAsia="宋体" w:cs="Times New Roman"/>
          <w:szCs w:val="22"/>
          <w14:ligatures w14:val="standardContextual"/>
        </w:rPr>
        <w:t>周）</w:t>
      </w:r>
    </w:p>
    <w:p w14:paraId="56A1BBA5">
      <w:pPr>
        <w:ind w:firstLine="420" w:firstLineChars="200"/>
        <w:rPr>
          <w:rFonts w:ascii="Times New Roman" w:hAnsi="Times New Roman" w:eastAsia="宋体" w:cs="Times New Roman"/>
          <w:szCs w:val="22"/>
          <w14:ligatures w14:val="standardContextual"/>
        </w:rPr>
      </w:pPr>
      <w:r>
        <w:rPr>
          <w:rFonts w:hint="eastAsia" w:ascii="Times New Roman" w:hAnsi="Times New Roman" w:eastAsia="宋体" w:cs="Times New Roman"/>
          <w:szCs w:val="22"/>
          <w14:ligatures w14:val="standardContextual"/>
        </w:rPr>
        <w:t>我对收集到的</w:t>
      </w:r>
      <w:r>
        <w:rPr>
          <w:rFonts w:ascii="Times New Roman" w:hAnsi="Times New Roman" w:eastAsia="宋体" w:cs="Times New Roman"/>
          <w:szCs w:val="22"/>
          <w14:ligatures w14:val="standardContextual"/>
        </w:rPr>
        <w:t>文化遗产基础定义、徐州千年文脉，到汉墓、汉兵马俑、汉画像石、户部山古民居的</w:t>
      </w:r>
      <w:r>
        <w:rPr>
          <w:rFonts w:hint="eastAsia" w:ascii="Times New Roman" w:hAnsi="Times New Roman" w:eastAsia="宋体" w:cs="Times New Roman"/>
          <w:szCs w:val="22"/>
          <w14:ligatures w14:val="standardContextual"/>
        </w:rPr>
        <w:t>相关信息</w:t>
      </w:r>
      <w:r>
        <w:rPr>
          <w:rFonts w:ascii="Times New Roman" w:hAnsi="Times New Roman" w:eastAsia="宋体" w:cs="Times New Roman"/>
          <w:szCs w:val="22"/>
          <w14:ligatures w14:val="standardContextual"/>
        </w:rPr>
        <w:t>，</w:t>
      </w:r>
      <w:r>
        <w:rPr>
          <w:rFonts w:hint="eastAsia" w:ascii="Times New Roman" w:hAnsi="Times New Roman" w:eastAsia="宋体" w:cs="Times New Roman"/>
          <w:szCs w:val="22"/>
          <w14:ligatures w14:val="standardContextual"/>
        </w:rPr>
        <w:t>以及</w:t>
      </w:r>
      <w:r>
        <w:rPr>
          <w:rFonts w:ascii="Times New Roman" w:hAnsi="Times New Roman" w:eastAsia="宋体" w:cs="Times New Roman"/>
          <w:szCs w:val="22"/>
          <w14:ligatures w14:val="standardContextual"/>
        </w:rPr>
        <w:t>剪纸香包的非遗特色、彭祖养生文化的核心内涵、伏羊节等民俗的文化意义</w:t>
      </w:r>
      <w:r>
        <w:rPr>
          <w:rFonts w:hint="eastAsia" w:ascii="Times New Roman" w:hAnsi="Times New Roman" w:eastAsia="宋体" w:cs="Times New Roman"/>
          <w:szCs w:val="22"/>
          <w14:ligatures w14:val="standardContextual"/>
        </w:rPr>
        <w:t>进行梳理分析。基于收集的资料</w:t>
      </w:r>
      <w:r>
        <w:rPr>
          <w:rFonts w:ascii="Times New Roman" w:hAnsi="Times New Roman" w:eastAsia="宋体" w:cs="Times New Roman"/>
          <w:szCs w:val="22"/>
          <w14:ligatures w14:val="standardContextual"/>
        </w:rPr>
        <w:t>搭建了PPT的基础框架，将文字内容与</w:t>
      </w:r>
      <w:r>
        <w:rPr>
          <w:rFonts w:hint="eastAsia" w:ascii="Times New Roman" w:hAnsi="Times New Roman" w:eastAsia="宋体" w:cs="Times New Roman"/>
          <w:szCs w:val="22"/>
          <w14:ligatures w14:val="standardContextual"/>
        </w:rPr>
        <w:t>收集的</w:t>
      </w:r>
      <w:r>
        <w:rPr>
          <w:rFonts w:ascii="Times New Roman" w:hAnsi="Times New Roman" w:eastAsia="宋体" w:cs="Times New Roman"/>
          <w:szCs w:val="22"/>
          <w14:ligatures w14:val="standardContextual"/>
        </w:rPr>
        <w:t>照片对应插入，</w:t>
      </w:r>
      <w:r>
        <w:rPr>
          <w:rFonts w:hint="eastAsia" w:ascii="Times New Roman" w:hAnsi="Times New Roman" w:eastAsia="宋体" w:cs="Times New Roman"/>
          <w:szCs w:val="22"/>
          <w14:ligatures w14:val="standardContextual"/>
        </w:rPr>
        <w:t>结合我的思考与想法，</w:t>
      </w:r>
      <w:r>
        <w:rPr>
          <w:rFonts w:ascii="Times New Roman" w:hAnsi="Times New Roman" w:eastAsia="宋体" w:cs="Times New Roman"/>
          <w:szCs w:val="22"/>
          <w14:ligatures w14:val="standardContextual"/>
        </w:rPr>
        <w:t>完成了</w:t>
      </w:r>
      <w:r>
        <w:rPr>
          <w:rFonts w:hint="eastAsia" w:ascii="Times New Roman" w:hAnsi="Times New Roman" w:eastAsia="宋体" w:cs="Times New Roman"/>
          <w:szCs w:val="22"/>
          <w14:ligatures w14:val="standardContextual"/>
        </w:rPr>
        <w:t>汇报</w:t>
      </w:r>
      <w:r>
        <w:rPr>
          <w:rFonts w:ascii="Times New Roman" w:hAnsi="Times New Roman" w:eastAsia="宋体" w:cs="Times New Roman"/>
          <w:szCs w:val="22"/>
          <w14:ligatures w14:val="standardContextual"/>
        </w:rPr>
        <w:t>PPT</w:t>
      </w:r>
      <w:r>
        <w:rPr>
          <w:rFonts w:hint="eastAsia" w:ascii="Times New Roman" w:hAnsi="Times New Roman" w:eastAsia="宋体" w:cs="Times New Roman"/>
          <w:szCs w:val="22"/>
          <w14:ligatures w14:val="standardContextual"/>
        </w:rPr>
        <w:t>，并完成过程报告与结题报告。</w:t>
      </w:r>
    </w:p>
    <w:p w14:paraId="6DCF7AED">
      <w:pPr>
        <w:rPr>
          <w:rFonts w:ascii="Times New Roman" w:hAnsi="Times New Roman" w:eastAsia="宋体" w:cs="Times New Roman"/>
          <w:b/>
          <w:bCs/>
          <w:szCs w:val="22"/>
          <w14:ligatures w14:val="standardContextual"/>
        </w:rPr>
      </w:pPr>
      <w:r>
        <w:rPr>
          <w:rFonts w:hint="eastAsia" w:ascii="Times New Roman" w:hAnsi="Times New Roman" w:eastAsia="宋体" w:cs="Times New Roman"/>
          <w:b/>
          <w:bCs/>
          <w:szCs w:val="22"/>
          <w14:ligatures w14:val="standardContextual"/>
        </w:rPr>
        <w:t>（二）研究中收集的资料</w:t>
      </w:r>
    </w:p>
    <w:p w14:paraId="75070C20">
      <w:pPr>
        <w:ind w:firstLine="420" w:firstLineChars="200"/>
        <w:rPr>
          <w:rFonts w:ascii="Times New Roman" w:hAnsi="Times New Roman" w:eastAsia="宋体" w:cs="Times New Roman"/>
          <w:szCs w:val="22"/>
          <w14:ligatures w14:val="standardContextual"/>
        </w:rPr>
      </w:pPr>
      <w:r>
        <w:rPr>
          <w:rFonts w:ascii="Times New Roman" w:hAnsi="Times New Roman" w:eastAsia="宋体" w:cs="Times New Roman"/>
          <w:szCs w:val="22"/>
          <w14:ligatures w14:val="standardContextual"/>
        </w:rPr>
        <w:t>汉代墓葬：龟山汉墓，被誉为“东方金字塔”，以精湛的工程技术著称，甬道精度误差极小，墓内数吨重的塞石严丝合缝，展现了汉代高超的测量与建筑水平，具备极高的历史与科学价值；狮子山楚王陵，规模宏大，出土了金缕玉衣、银缕玉衣等大量珍贵文物，是汉代诸侯王陵墓的典型代表，见证了汉代高超的冶金与玉器加工水平。</w:t>
      </w:r>
    </w:p>
    <w:p w14:paraId="528EB5F3">
      <w:pPr>
        <w:ind w:firstLine="420" w:firstLineChars="200"/>
        <w:rPr>
          <w:rFonts w:ascii="Times New Roman" w:hAnsi="Times New Roman" w:eastAsia="宋体" w:cs="Times New Roman"/>
          <w:szCs w:val="22"/>
          <w14:ligatures w14:val="standardContextual"/>
        </w:rPr>
      </w:pPr>
      <w:r>
        <w:rPr>
          <w:rFonts w:ascii="Times New Roman" w:hAnsi="Times New Roman" w:eastAsia="宋体" w:cs="Times New Roman"/>
          <w:szCs w:val="22"/>
          <w14:ligatures w14:val="standardContextual"/>
        </w:rPr>
        <w:t>汉兵马俑：徐州汉兵马俑是西汉楚王的陪葬品，1984年发现于狮子山楚王陵西侧，是中国发现的第二大规模兵马俑群</w:t>
      </w:r>
      <w:r>
        <w:rPr>
          <w:rFonts w:hint="eastAsia" w:ascii="Times New Roman" w:hAnsi="Times New Roman" w:eastAsia="宋体" w:cs="Times New Roman"/>
          <w:szCs w:val="22"/>
          <w14:ligatures w14:val="standardContextual"/>
        </w:rPr>
        <w:t>，</w:t>
      </w:r>
      <w:r>
        <w:rPr>
          <w:rFonts w:ascii="Times New Roman" w:hAnsi="Times New Roman" w:eastAsia="宋体" w:cs="Times New Roman"/>
          <w:szCs w:val="22"/>
          <w14:ligatures w14:val="standardContextual"/>
        </w:rPr>
        <w:t>与秦俑的写实风格不同，汉俑更具写意和装饰性，体现了汉代独特的艺术追求，展现了汉代工匠的精湛技艺。</w:t>
      </w:r>
    </w:p>
    <w:p w14:paraId="7698E85B">
      <w:pPr>
        <w:ind w:firstLine="420" w:firstLineChars="200"/>
        <w:rPr>
          <w:rFonts w:ascii="Times New Roman" w:hAnsi="Times New Roman" w:eastAsia="宋体" w:cs="Times New Roman"/>
          <w:szCs w:val="22"/>
          <w14:ligatures w14:val="standardContextual"/>
        </w:rPr>
      </w:pPr>
      <w:r>
        <w:rPr>
          <w:rFonts w:ascii="Times New Roman" w:hAnsi="Times New Roman" w:eastAsia="宋体" w:cs="Times New Roman"/>
          <w:szCs w:val="22"/>
          <w14:ligatures w14:val="standardContextual"/>
        </w:rPr>
        <w:t>汉画像石：徐州是中国汉画像石的重要发源地，这些石刻被誉为“石上史诗”，是研究汉代社会的珍贵史料</w:t>
      </w:r>
      <w:r>
        <w:rPr>
          <w:rFonts w:hint="eastAsia" w:ascii="Times New Roman" w:hAnsi="Times New Roman" w:eastAsia="宋体" w:cs="Times New Roman"/>
          <w:szCs w:val="22"/>
          <w14:ligatures w14:val="standardContextual"/>
        </w:rPr>
        <w:t>，</w:t>
      </w:r>
      <w:r>
        <w:rPr>
          <w:rFonts w:ascii="Times New Roman" w:hAnsi="Times New Roman" w:eastAsia="宋体" w:cs="Times New Roman"/>
          <w:szCs w:val="22"/>
          <w14:ligatures w14:val="standardContextual"/>
        </w:rPr>
        <w:t>题材包罗万象，涵盖西王母、东王公等神话传说，周公辅政、二桃杀三士等历史故事，以及车马出行、宴饮百戏等现实生活场景</w:t>
      </w:r>
      <w:r>
        <w:rPr>
          <w:rFonts w:hint="eastAsia" w:ascii="Times New Roman" w:hAnsi="Times New Roman" w:eastAsia="宋体" w:cs="Times New Roman"/>
          <w:szCs w:val="22"/>
          <w14:ligatures w14:val="standardContextual"/>
        </w:rPr>
        <w:t>。</w:t>
      </w:r>
      <w:r>
        <w:rPr>
          <w:rFonts w:ascii="Times New Roman" w:hAnsi="Times New Roman" w:eastAsia="宋体" w:cs="Times New Roman"/>
          <w:szCs w:val="22"/>
          <w14:ligatures w14:val="standardContextual"/>
        </w:rPr>
        <w:t>采用阴线刻、阳线刻、浅浮雕等技法，风格古朴豪放，深刻反映了汉代人的精神信仰与生活风貌。</w:t>
      </w:r>
    </w:p>
    <w:p w14:paraId="2EAFA999">
      <w:pPr>
        <w:ind w:firstLine="420" w:firstLineChars="200"/>
        <w:rPr>
          <w:rFonts w:ascii="Times New Roman" w:hAnsi="Times New Roman" w:eastAsia="宋体" w:cs="Times New Roman"/>
          <w:szCs w:val="22"/>
          <w14:ligatures w14:val="standardContextual"/>
        </w:rPr>
      </w:pPr>
      <w:r>
        <w:rPr>
          <w:rFonts w:ascii="Times New Roman" w:hAnsi="Times New Roman" w:eastAsia="宋体" w:cs="Times New Roman"/>
          <w:szCs w:val="22"/>
          <w14:ligatures w14:val="standardContextual"/>
        </w:rPr>
        <w:t>户部山古民居：该建筑群是徐州保存完整的明清民居群落，明末清初黄河改道，徐州官绅富户为避水患迁居户部山，这里逐渐成为当时徐州的政治、经济和文化中心</w:t>
      </w:r>
      <w:r>
        <w:rPr>
          <w:rFonts w:hint="eastAsia" w:ascii="Times New Roman" w:hAnsi="Times New Roman" w:eastAsia="宋体" w:cs="Times New Roman"/>
          <w:szCs w:val="22"/>
          <w14:ligatures w14:val="standardContextual"/>
        </w:rPr>
        <w:t>。</w:t>
      </w:r>
      <w:r>
        <w:rPr>
          <w:rFonts w:ascii="Times New Roman" w:hAnsi="Times New Roman" w:eastAsia="宋体" w:cs="Times New Roman"/>
          <w:szCs w:val="22"/>
          <w14:ligatures w14:val="standardContextual"/>
        </w:rPr>
        <w:t>建筑群依山而建、布局精巧，形成了独特的四合院式布局，墙体采用“里生外熟”的独特工艺，青砖黛瓦、古色古香，兼具建筑艺术与历史研究价值。</w:t>
      </w:r>
    </w:p>
    <w:p w14:paraId="01ED5606">
      <w:pPr>
        <w:ind w:firstLine="420" w:firstLineChars="200"/>
        <w:rPr>
          <w:rFonts w:ascii="Times New Roman" w:hAnsi="Times New Roman" w:eastAsia="宋体" w:cs="Times New Roman"/>
          <w:szCs w:val="22"/>
          <w14:ligatures w14:val="standardContextual"/>
        </w:rPr>
      </w:pPr>
      <w:r>
        <w:rPr>
          <w:rFonts w:ascii="Times New Roman" w:hAnsi="Times New Roman" w:eastAsia="宋体" w:cs="Times New Roman"/>
          <w:szCs w:val="22"/>
          <w14:ligatures w14:val="standardContextual"/>
        </w:rPr>
        <w:t>徐州剪纸相关资料：徐州剪纸以邳州剪纸为代表，流派众多、风格鲜明，著名传承艺人有王桂英等；创作题材广泛，涵盖花鸟鱼虫、戏曲人物、民间故事、吉祥图案等；艺术风格兼具北方剪纸的粗犷豪放与南方剪纸的细腻清丽，刚柔并济，是极具乡土风情的民间镂空艺术。</w:t>
      </w:r>
    </w:p>
    <w:p w14:paraId="3794AD79">
      <w:pPr>
        <w:ind w:firstLine="420" w:firstLineChars="200"/>
        <w:rPr>
          <w:rFonts w:ascii="Times New Roman" w:hAnsi="Times New Roman" w:eastAsia="宋体" w:cs="Times New Roman"/>
          <w:szCs w:val="22"/>
          <w14:ligatures w14:val="standardContextual"/>
        </w:rPr>
      </w:pPr>
      <w:r>
        <w:rPr>
          <w:rFonts w:ascii="Times New Roman" w:hAnsi="Times New Roman" w:eastAsia="宋体" w:cs="Times New Roman"/>
          <w:szCs w:val="22"/>
          <w14:ligatures w14:val="standardContextual"/>
        </w:rPr>
        <w:t>徐州香包：徐州香包制作工艺复杂，需经选料、裁剪、刺绣、填充、缝合等多道工序，刺绣环节针法细腻、图案精美；香包造型多样、寓意丰富，心形象征爱情甜蜜，葫芦谐音</w:t>
      </w:r>
      <w:r>
        <w:rPr>
          <w:rFonts w:hint="eastAsia" w:ascii="Times New Roman" w:hAnsi="Times New Roman" w:eastAsia="宋体" w:cs="Times New Roman"/>
          <w:szCs w:val="22"/>
          <w14:ligatures w14:val="standardContextual"/>
        </w:rPr>
        <w:t>“</w:t>
      </w:r>
      <w:r>
        <w:rPr>
          <w:rFonts w:ascii="Times New Roman" w:hAnsi="Times New Roman" w:eastAsia="宋体" w:cs="Times New Roman"/>
          <w:szCs w:val="22"/>
          <w14:ligatures w14:val="standardContextual"/>
        </w:rPr>
        <w:t>福禄</w:t>
      </w:r>
      <w:r>
        <w:rPr>
          <w:rFonts w:hint="eastAsia" w:ascii="Times New Roman" w:hAnsi="Times New Roman" w:eastAsia="宋体" w:cs="Times New Roman"/>
          <w:szCs w:val="22"/>
          <w14:ligatures w14:val="standardContextual"/>
        </w:rPr>
        <w:t>”</w:t>
      </w:r>
      <w:r>
        <w:rPr>
          <w:rFonts w:ascii="Times New Roman" w:hAnsi="Times New Roman" w:eastAsia="宋体" w:cs="Times New Roman"/>
          <w:szCs w:val="22"/>
          <w14:ligatures w14:val="standardContextual"/>
        </w:rPr>
        <w:t>寓意富贵吉祥，老虎造型用于辟邪祈福，一针一线都寄托着人们对美好生活的向往，是徐州民间祈福文化的重要载体。</w:t>
      </w:r>
    </w:p>
    <w:p w14:paraId="171959B9">
      <w:pPr>
        <w:ind w:firstLine="420" w:firstLineChars="200"/>
        <w:rPr>
          <w:rFonts w:ascii="Times New Roman" w:hAnsi="Times New Roman" w:eastAsia="宋体" w:cs="Times New Roman"/>
          <w:szCs w:val="22"/>
          <w14:ligatures w14:val="standardContextual"/>
        </w:rPr>
      </w:pPr>
      <w:r>
        <w:rPr>
          <w:rFonts w:ascii="Times New Roman" w:hAnsi="Times New Roman" w:eastAsia="宋体" w:cs="Times New Roman"/>
          <w:szCs w:val="22"/>
          <w14:ligatures w14:val="standardContextual"/>
        </w:rPr>
        <w:t>彭祖文化：彭祖姓籛名铿，是颛顼帝的玄孙，因封于彭城故称彭祖，是中国古代传奇人物，首创</w:t>
      </w:r>
      <w:r>
        <w:rPr>
          <w:rFonts w:hint="eastAsia" w:ascii="Times New Roman" w:hAnsi="Times New Roman" w:eastAsia="宋体" w:cs="Times New Roman"/>
          <w:szCs w:val="22"/>
          <w14:ligatures w14:val="standardContextual"/>
        </w:rPr>
        <w:t>“</w:t>
      </w:r>
      <w:r>
        <w:rPr>
          <w:rFonts w:ascii="Times New Roman" w:hAnsi="Times New Roman" w:eastAsia="宋体" w:cs="Times New Roman"/>
          <w:szCs w:val="22"/>
          <w14:ligatures w14:val="standardContextual"/>
        </w:rPr>
        <w:t>雉羹</w:t>
      </w:r>
      <w:r>
        <w:rPr>
          <w:rFonts w:hint="eastAsia" w:ascii="Times New Roman" w:hAnsi="Times New Roman" w:eastAsia="宋体" w:cs="Times New Roman"/>
          <w:szCs w:val="22"/>
          <w14:ligatures w14:val="standardContextual"/>
        </w:rPr>
        <w:t>”</w:t>
      </w:r>
      <w:r>
        <w:rPr>
          <w:rFonts w:ascii="Times New Roman" w:hAnsi="Times New Roman" w:eastAsia="宋体" w:cs="Times New Roman"/>
          <w:szCs w:val="22"/>
          <w14:ligatures w14:val="standardContextual"/>
        </w:rPr>
        <w:t>被尊为烹饪鼻祖，提出系统养生理念被尊为养生之宗。其养生之道分为三大核心，分别是</w:t>
      </w:r>
      <w:r>
        <w:rPr>
          <w:rFonts w:hint="eastAsia" w:ascii="Times New Roman" w:hAnsi="Times New Roman" w:eastAsia="宋体" w:cs="Times New Roman"/>
          <w:szCs w:val="22"/>
          <w14:ligatures w14:val="standardContextual"/>
        </w:rPr>
        <w:t>“</w:t>
      </w:r>
      <w:r>
        <w:rPr>
          <w:rFonts w:ascii="Times New Roman" w:hAnsi="Times New Roman" w:eastAsia="宋体" w:cs="Times New Roman"/>
          <w:szCs w:val="22"/>
          <w14:ligatures w14:val="standardContextual"/>
        </w:rPr>
        <w:t>食饮有节</w:t>
      </w:r>
      <w:r>
        <w:rPr>
          <w:rFonts w:hint="eastAsia" w:ascii="Times New Roman" w:hAnsi="Times New Roman" w:eastAsia="宋体" w:cs="Times New Roman"/>
          <w:szCs w:val="22"/>
          <w14:ligatures w14:val="standardContextual"/>
        </w:rPr>
        <w:t>”</w:t>
      </w:r>
      <w:r>
        <w:rPr>
          <w:rFonts w:ascii="Times New Roman" w:hAnsi="Times New Roman" w:eastAsia="宋体" w:cs="Times New Roman"/>
          <w:szCs w:val="22"/>
          <w14:ligatures w14:val="standardContextual"/>
        </w:rPr>
        <w:t>的饮食养生、</w:t>
      </w:r>
      <w:r>
        <w:rPr>
          <w:rFonts w:hint="eastAsia" w:ascii="Times New Roman" w:hAnsi="Times New Roman" w:eastAsia="宋体" w:cs="Times New Roman"/>
          <w:szCs w:val="22"/>
          <w14:ligatures w14:val="standardContextual"/>
        </w:rPr>
        <w:t>“</w:t>
      </w:r>
      <w:r>
        <w:rPr>
          <w:rFonts w:ascii="Times New Roman" w:hAnsi="Times New Roman" w:eastAsia="宋体" w:cs="Times New Roman"/>
          <w:szCs w:val="22"/>
          <w14:ligatures w14:val="standardContextual"/>
        </w:rPr>
        <w:t>起居有常</w:t>
      </w:r>
      <w:r>
        <w:rPr>
          <w:rFonts w:hint="eastAsia" w:ascii="Times New Roman" w:hAnsi="Times New Roman" w:eastAsia="宋体" w:cs="Times New Roman"/>
          <w:szCs w:val="22"/>
          <w14:ligatures w14:val="standardContextual"/>
        </w:rPr>
        <w:t>”</w:t>
      </w:r>
      <w:r>
        <w:rPr>
          <w:rFonts w:ascii="Times New Roman" w:hAnsi="Times New Roman" w:eastAsia="宋体" w:cs="Times New Roman"/>
          <w:szCs w:val="22"/>
          <w14:ligatures w14:val="standardContextual"/>
        </w:rPr>
        <w:t>的起居养生、</w:t>
      </w:r>
      <w:r>
        <w:rPr>
          <w:rFonts w:hint="eastAsia" w:ascii="Times New Roman" w:hAnsi="Times New Roman" w:eastAsia="宋体" w:cs="Times New Roman"/>
          <w:szCs w:val="22"/>
          <w14:ligatures w14:val="standardContextual"/>
        </w:rPr>
        <w:t>“</w:t>
      </w:r>
      <w:r>
        <w:rPr>
          <w:rFonts w:ascii="Times New Roman" w:hAnsi="Times New Roman" w:eastAsia="宋体" w:cs="Times New Roman"/>
          <w:szCs w:val="22"/>
          <w14:ligatures w14:val="standardContextual"/>
        </w:rPr>
        <w:t>导引行气</w:t>
      </w:r>
      <w:r>
        <w:rPr>
          <w:rFonts w:hint="eastAsia" w:ascii="Times New Roman" w:hAnsi="Times New Roman" w:eastAsia="宋体" w:cs="Times New Roman"/>
          <w:szCs w:val="22"/>
          <w14:ligatures w14:val="standardContextual"/>
        </w:rPr>
        <w:t>”</w:t>
      </w:r>
      <w:r>
        <w:rPr>
          <w:rFonts w:ascii="Times New Roman" w:hAnsi="Times New Roman" w:eastAsia="宋体" w:cs="Times New Roman"/>
          <w:szCs w:val="22"/>
          <w14:ligatures w14:val="standardContextual"/>
        </w:rPr>
        <w:t>的运动养生，相关理念影响了中国数千年，是中华养生文化的基石。徐州作为彭祖故国，至今仍保留着许多与彭祖相关的文化遗迹和民间习俗，是彭祖文化的核心传承地。</w:t>
      </w:r>
    </w:p>
    <w:p w14:paraId="2632749D">
      <w:pPr>
        <w:ind w:firstLine="420" w:firstLineChars="200"/>
        <w:rPr>
          <w:rFonts w:ascii="Times New Roman" w:hAnsi="Times New Roman" w:eastAsia="宋体" w:cs="Times New Roman"/>
          <w:szCs w:val="22"/>
          <w14:ligatures w14:val="standardContextual"/>
        </w:rPr>
      </w:pPr>
      <w:r>
        <w:rPr>
          <w:rFonts w:ascii="Times New Roman" w:hAnsi="Times New Roman" w:eastAsia="宋体" w:cs="Times New Roman"/>
          <w:szCs w:val="22"/>
          <w14:ligatures w14:val="standardContextual"/>
        </w:rPr>
        <w:t>徐州伏羊节：伏羊节起源于徐州民间食俗，2000年被正式命名为</w:t>
      </w:r>
      <w:r>
        <w:rPr>
          <w:rFonts w:hint="eastAsia" w:ascii="Times New Roman" w:hAnsi="Times New Roman" w:eastAsia="宋体" w:cs="Times New Roman"/>
          <w:szCs w:val="22"/>
          <w14:ligatures w14:val="standardContextual"/>
        </w:rPr>
        <w:t>“</w:t>
      </w:r>
      <w:r>
        <w:rPr>
          <w:rFonts w:ascii="Times New Roman" w:hAnsi="Times New Roman" w:eastAsia="宋体" w:cs="Times New Roman"/>
          <w:szCs w:val="22"/>
          <w14:ligatures w14:val="standardContextual"/>
        </w:rPr>
        <w:t>中国</w:t>
      </w:r>
      <w:r>
        <w:rPr>
          <w:rFonts w:hint="eastAsia" w:ascii="Times New Roman" w:hAnsi="Times New Roman" w:eastAsia="宋体" w:cs="Times New Roman"/>
          <w:szCs w:val="22"/>
          <w14:ligatures w14:val="standardContextual"/>
        </w:rPr>
        <w:t>徐州</w:t>
      </w:r>
      <w:r>
        <w:rPr>
          <w:rFonts w:ascii="Times New Roman" w:hAnsi="Times New Roman" w:eastAsia="宋体" w:cs="Times New Roman"/>
          <w:szCs w:val="22"/>
          <w14:ligatures w14:val="standardContextual"/>
        </w:rPr>
        <w:t>彭祖伏羊节</w:t>
      </w:r>
      <w:r>
        <w:rPr>
          <w:rFonts w:hint="eastAsia" w:ascii="Times New Roman" w:hAnsi="Times New Roman" w:eastAsia="宋体" w:cs="Times New Roman"/>
          <w:szCs w:val="22"/>
          <w14:ligatures w14:val="standardContextual"/>
        </w:rPr>
        <w:t>”</w:t>
      </w:r>
      <w:r>
        <w:rPr>
          <w:rFonts w:ascii="Times New Roman" w:hAnsi="Times New Roman" w:eastAsia="宋体" w:cs="Times New Roman"/>
          <w:szCs w:val="22"/>
          <w14:ligatures w14:val="standardContextual"/>
        </w:rPr>
        <w:t>，是当地最具代表性的民俗节日，传承了彭祖饮食文化与民间养生智慧。</w:t>
      </w:r>
    </w:p>
    <w:p w14:paraId="3D373274">
      <w:pPr>
        <w:ind w:firstLine="420" w:firstLineChars="200"/>
        <w:rPr>
          <w:rFonts w:ascii="Times New Roman" w:hAnsi="Times New Roman" w:eastAsia="宋体" w:cs="Times New Roman"/>
          <w:szCs w:val="22"/>
          <w14:ligatures w14:val="standardContextual"/>
        </w:rPr>
      </w:pPr>
      <w:r>
        <w:rPr>
          <w:rFonts w:ascii="Times New Roman" w:hAnsi="Times New Roman" w:eastAsia="宋体" w:cs="Times New Roman"/>
          <w:szCs w:val="22"/>
          <w14:ligatures w14:val="standardContextual"/>
        </w:rPr>
        <w:t>蟠桃山庙会资料：蟠桃山庙会起源于明代，每年农历三月三举办，是徐州民俗文化的重要代表，融合了民俗祭祀、民间演艺、商贸交流等内容，承载着深厚的历史底蕴与文化记忆。</w:t>
      </w:r>
    </w:p>
    <w:p w14:paraId="7AA8E3F0">
      <w:pPr>
        <w:ind w:firstLine="420" w:firstLineChars="200"/>
        <w:rPr>
          <w:rFonts w:ascii="Times New Roman" w:hAnsi="Times New Roman" w:eastAsia="宋体" w:cs="Times New Roman"/>
          <w:b/>
          <w:bCs/>
          <w:szCs w:val="22"/>
          <w14:ligatures w14:val="standardContextual"/>
        </w:rPr>
      </w:pPr>
      <w:r>
        <w:rPr>
          <w:rFonts w:ascii="Times New Roman" w:hAnsi="Times New Roman" w:eastAsia="宋体" w:cs="Times New Roman"/>
          <w:szCs w:val="22"/>
          <w14:ligatures w14:val="standardContextual"/>
        </w:rPr>
        <w:t>徐州元宵节特色习俗资料：徐州本地元宵节除赏灯会外，还有蒸面灯、走三桥的独特习俗，寓意预测年景、消灾祈福，承载着人们对团圆美满、平安顺遂的美好期盼。</w:t>
      </w:r>
    </w:p>
    <w:p w14:paraId="3489F052">
      <w:pPr>
        <w:rPr>
          <w:rFonts w:ascii="Times New Roman" w:hAnsi="Times New Roman" w:eastAsia="宋体" w:cs="Times New Roman"/>
          <w:b/>
          <w:bCs/>
          <w:szCs w:val="22"/>
          <w14:ligatures w14:val="standardContextual"/>
        </w:rPr>
      </w:pPr>
      <w:r>
        <w:rPr>
          <w:rFonts w:ascii="Times New Roman" w:hAnsi="Times New Roman" w:eastAsia="宋体" w:cs="Times New Roman"/>
          <w:b/>
          <w:bCs/>
          <w:szCs w:val="22"/>
          <w14:ligatures w14:val="standardContextual"/>
        </w:rPr>
        <w:t>（</w:t>
      </w:r>
      <w:r>
        <w:rPr>
          <w:rFonts w:hint="eastAsia" w:ascii="Times New Roman" w:hAnsi="Times New Roman" w:eastAsia="宋体" w:cs="Times New Roman"/>
          <w:b/>
          <w:bCs/>
          <w:szCs w:val="22"/>
          <w14:ligatures w14:val="standardContextual"/>
        </w:rPr>
        <w:t>三</w:t>
      </w:r>
      <w:r>
        <w:rPr>
          <w:rFonts w:ascii="Times New Roman" w:hAnsi="Times New Roman" w:eastAsia="宋体" w:cs="Times New Roman"/>
          <w:b/>
          <w:bCs/>
          <w:szCs w:val="22"/>
          <w14:ligatures w14:val="standardContextual"/>
        </w:rPr>
        <w:t>）</w:t>
      </w:r>
      <w:r>
        <w:rPr>
          <w:rFonts w:hint="eastAsia" w:ascii="Times New Roman" w:hAnsi="Times New Roman" w:eastAsia="宋体" w:cs="Times New Roman"/>
          <w:b/>
          <w:bCs/>
          <w:szCs w:val="22"/>
          <w14:ligatures w14:val="standardContextual"/>
        </w:rPr>
        <w:t>研究过程中的</w:t>
      </w:r>
      <w:r>
        <w:rPr>
          <w:rFonts w:ascii="Times New Roman" w:hAnsi="Times New Roman" w:eastAsia="宋体" w:cs="Times New Roman"/>
          <w:b/>
          <w:bCs/>
          <w:szCs w:val="22"/>
          <w14:ligatures w14:val="standardContextual"/>
        </w:rPr>
        <w:t>反思</w:t>
      </w:r>
    </w:p>
    <w:p w14:paraId="73B1E017">
      <w:pPr>
        <w:ind w:firstLine="420" w:firstLineChars="200"/>
        <w:rPr>
          <w:rFonts w:ascii="Times New Roman" w:hAnsi="Times New Roman" w:eastAsia="宋体" w:cs="Times New Roman"/>
          <w:szCs w:val="22"/>
          <w14:ligatures w14:val="standardContextual"/>
        </w:rPr>
      </w:pPr>
      <w:r>
        <w:rPr>
          <w:rFonts w:ascii="Times New Roman" w:hAnsi="Times New Roman" w:eastAsia="宋体" w:cs="Times New Roman"/>
          <w:szCs w:val="22"/>
          <w14:ligatures w14:val="standardContextual"/>
        </w:rPr>
        <w:t>在整个过程中，我学会了自主开展探究学习，真正读懂了徐州文化遗产的魅力，但也存在对非遗传承人深度访谈不足的问题，后续我会继续补充完善，持续学习家乡的本土文化。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8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2312A7"/>
    <w:rsid w:val="009E1ED8"/>
    <w:rsid w:val="00A20A24"/>
    <w:rsid w:val="03062D2F"/>
    <w:rsid w:val="0D2312A7"/>
    <w:rsid w:val="0DD55E57"/>
    <w:rsid w:val="171B2BBF"/>
    <w:rsid w:val="27160EE4"/>
    <w:rsid w:val="335331C4"/>
    <w:rsid w:val="4A050C18"/>
    <w:rsid w:val="4CDF6CAF"/>
    <w:rsid w:val="68A961A5"/>
    <w:rsid w:val="6F36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Autospacing="1" w:afterAutospacing="1"/>
      <w:jc w:val="left"/>
      <w:outlineLvl w:val="3"/>
    </w:pPr>
    <w:rPr>
      <w:rFonts w:hint="eastAsia" w:ascii="宋体" w:hAnsi="宋体" w:eastAsia="宋体" w:cs="Times New Roman"/>
      <w:b/>
      <w:bCs/>
      <w:kern w:val="0"/>
      <w:sz w:val="24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1794</Words>
  <Characters>1810</Characters>
  <Lines>1</Lines>
  <Paragraphs>3</Paragraphs>
  <TotalTime>0</TotalTime>
  <ScaleCrop>false</ScaleCrop>
  <LinksUpToDate>false</LinksUpToDate>
  <CharactersWithSpaces>1812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2026-03-08T13:17:00Z</dcterms:created>
  <dc:creator>忧郁又犹豫的鱿鱼</dc:creator>
  <cp:lastModifiedBy>韩书文</cp:lastModifiedBy>
  <dcterms:modified xsi:type="dcterms:W3CDTF">2026-03-11T00:57:31Z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F27EEC309B2C4E2FA5E34AA403F2A841_13</vt:lpwstr>
  </property>
  <property fmtid="{D5CDD505-2E9C-101B-9397-08002B2CF9AE}" pid="4" name="KSOTemplateDocerSaveRecord">
    <vt:lpwstr>eyJoZGlkIjoiN2RlZDg1NTJkZDM2ZDlkN2YzMjRjNTc2YTY5ZTliNTAiLCJ1c2VySWQiOiI2NjAyNTgwMzAifQ==</vt:lpwstr>
  </property>
</Properties>
</file>