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41FAF">
      <w:pPr>
        <w:ind w:firstLine="360" w:firstLineChars="100"/>
        <w:rPr>
          <w:rFonts w:ascii="Arial" w:hAnsi="Arial" w:eastAsia="等线" w:cs="Arial"/>
          <w:b/>
          <w:sz w:val="36"/>
          <w:szCs w:val="36"/>
        </w:rPr>
      </w:pPr>
      <w:r>
        <w:rPr>
          <w:rFonts w:ascii="Arial" w:hAnsi="Arial" w:eastAsia="等线" w:cs="Arial"/>
          <w:b/>
          <w:sz w:val="36"/>
          <w:szCs w:val="36"/>
        </w:rPr>
        <w:t>本地菜市场</w:t>
      </w:r>
      <w:r>
        <w:rPr>
          <w:rFonts w:hint="eastAsia" w:ascii="Arial" w:hAnsi="Arial" w:eastAsia="等线" w:cs="Arial"/>
          <w:b/>
          <w:sz w:val="36"/>
          <w:szCs w:val="36"/>
          <w:lang w:val="en-US" w:eastAsia="zh-CN"/>
        </w:rPr>
        <w:t>与</w:t>
      </w:r>
      <w:r>
        <w:rPr>
          <w:rFonts w:ascii="Arial" w:hAnsi="Arial" w:eastAsia="等线" w:cs="Arial"/>
          <w:b/>
          <w:sz w:val="36"/>
          <w:szCs w:val="36"/>
        </w:rPr>
        <w:t>超市分布</w:t>
      </w:r>
      <w:r>
        <w:rPr>
          <w:rFonts w:hint="eastAsia" w:ascii="Arial" w:hAnsi="Arial" w:eastAsia="等线" w:cs="Arial"/>
          <w:b/>
          <w:sz w:val="36"/>
          <w:szCs w:val="36"/>
          <w:lang w:val="en-US" w:eastAsia="zh-CN"/>
        </w:rPr>
        <w:t>及</w:t>
      </w:r>
      <w:r>
        <w:rPr>
          <w:rFonts w:ascii="Arial" w:hAnsi="Arial" w:eastAsia="等线" w:cs="Arial"/>
          <w:b/>
          <w:sz w:val="36"/>
          <w:szCs w:val="36"/>
        </w:rPr>
        <w:t>居民生活便利性调查</w:t>
      </w:r>
    </w:p>
    <w:p w14:paraId="5CD68B42">
      <w:pPr>
        <w:ind w:firstLine="3242" w:firstLineChars="900"/>
        <w:rPr>
          <w:rFonts w:asciiTheme="minorEastAsia" w:hAnsiTheme="minorEastAsia"/>
          <w:sz w:val="28"/>
          <w:szCs w:val="28"/>
        </w:rPr>
      </w:pPr>
      <w:r>
        <w:rPr>
          <w:rFonts w:ascii="Arial" w:hAnsi="Arial" w:eastAsia="等线" w:cs="Arial"/>
          <w:b/>
          <w:sz w:val="36"/>
          <w:szCs w:val="36"/>
        </w:rPr>
        <w:t>结题报告</w:t>
      </w:r>
    </w:p>
    <w:p w14:paraId="3C7402AB"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学校：中国矿业大学附属中学</w:t>
      </w:r>
    </w:p>
    <w:p w14:paraId="3C285195"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研究时间：2026年2月</w:t>
      </w:r>
    </w:p>
    <w:p w14:paraId="75B6818B"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班级：初二（3）班</w:t>
      </w:r>
    </w:p>
    <w:p w14:paraId="6704D3E0"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课题组成员：亓远哲 </w:t>
      </w:r>
    </w:p>
    <w:p w14:paraId="72F6218F"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指导老师：刘红萍 </w:t>
      </w:r>
    </w:p>
    <w:p w14:paraId="6CBD6770">
      <w:pPr>
        <w:spacing w:before="320" w:after="120" w:line="288" w:lineRule="auto"/>
        <w:jc w:val="left"/>
        <w:outlineLvl w:val="1"/>
      </w:pPr>
      <w:bookmarkStart w:id="0" w:name="heading_19"/>
      <w:r>
        <w:rPr>
          <w:rFonts w:ascii="Arial" w:hAnsi="Arial" w:eastAsia="等线" w:cs="Arial"/>
          <w:b/>
          <w:sz w:val="32"/>
        </w:rPr>
        <w:t>课题名称</w:t>
      </w:r>
      <w:bookmarkEnd w:id="0"/>
    </w:p>
    <w:p w14:paraId="3A447344">
      <w:pPr>
        <w:spacing w:before="320" w:after="120" w:line="288" w:lineRule="auto"/>
        <w:jc w:val="left"/>
        <w:outlineLvl w:val="1"/>
        <w:rPr>
          <w:rFonts w:hint="eastAsia" w:ascii="Arial" w:hAnsi="Arial" w:eastAsia="等线" w:cs="Arial"/>
          <w:sz w:val="22"/>
        </w:rPr>
      </w:pPr>
      <w:bookmarkStart w:id="1" w:name="heading_20"/>
      <w:r>
        <w:rPr>
          <w:rFonts w:hint="eastAsia" w:ascii="Arial" w:hAnsi="Arial" w:eastAsia="等线" w:cs="Arial"/>
          <w:sz w:val="22"/>
        </w:rPr>
        <w:t>本地菜市场与超市分布及居民生活便利性调查</w:t>
      </w:r>
    </w:p>
    <w:p w14:paraId="0C2D27A2">
      <w:pPr>
        <w:spacing w:before="320" w:after="120" w:line="288" w:lineRule="auto"/>
        <w:jc w:val="left"/>
        <w:outlineLvl w:val="1"/>
      </w:pPr>
      <w:bookmarkStart w:id="8" w:name="_GoBack"/>
      <w:bookmarkEnd w:id="8"/>
      <w:r>
        <w:rPr>
          <w:rFonts w:ascii="Arial" w:hAnsi="Arial" w:eastAsia="等线" w:cs="Arial"/>
          <w:b/>
          <w:sz w:val="32"/>
        </w:rPr>
        <w:t>一、研究概述</w:t>
      </w:r>
      <w:bookmarkEnd w:id="1"/>
    </w:p>
    <w:p w14:paraId="0C136216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本课题以本人居住地周边10公里为调查范围，聚焦菜市场、超市这两类核心居民生活服务设施，通过地图查阅、实地走访、数据测量、居民访谈等方式，梳理其分布特点、规模及经营情况，分析设施分布与居民生活便利性的关联，验证初中地理“城市聚落服务功能”的相关知识点，形成完整的地理实践探究报告，并提出优化建议，提升居民生活便捷度。</w:t>
      </w:r>
    </w:p>
    <w:p w14:paraId="15717C62">
      <w:pPr>
        <w:spacing w:before="320" w:after="120" w:line="288" w:lineRule="auto"/>
        <w:jc w:val="left"/>
        <w:outlineLvl w:val="1"/>
      </w:pPr>
      <w:bookmarkStart w:id="2" w:name="heading_21"/>
      <w:r>
        <w:rPr>
          <w:rFonts w:ascii="Arial" w:hAnsi="Arial" w:eastAsia="等线" w:cs="Arial"/>
          <w:b/>
          <w:sz w:val="32"/>
        </w:rPr>
        <w:t>二、研究过程与方法</w:t>
      </w:r>
      <w:bookmarkEnd w:id="2"/>
    </w:p>
    <w:p w14:paraId="18416EE4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1.  准备阶段（第1天）：明确调查范围，使用电子地图标记3公里内所有菜市场、超市，制定包含位置、距离、规模、品类等项目的调查表格，学习简单访谈技巧，确定访谈问题。</w:t>
      </w:r>
    </w:p>
    <w:p w14:paraId="731A29B8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2.  实施阶段（第2天）：每日居民采购高峰时段，实地走访6处调查对象，逐一记录其基本信息、距离、步行时间、人流量；随机访谈12位居民，记录其使用感受和需求，整理访谈内容。</w:t>
      </w:r>
    </w:p>
    <w:p w14:paraId="2217E29E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3.  整理分析阶段（第3天）：汇总所有调查数据，对比不同设施的距离、规模、便利性差异，结合初中地理“城市服务设施分布”相关知识，分析分布不均衡的原因，梳理居民核心需求。</w:t>
      </w:r>
    </w:p>
    <w:p w14:paraId="599222F8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4.  总结撰写阶段（第4天）：根据观察数据和分析结果，撰写观察报告；提炼研究结论，分析存在的不足，提出优化建议，完成结题报告，修改完善全套材料。</w:t>
      </w:r>
    </w:p>
    <w:p w14:paraId="3125914F">
      <w:pPr>
        <w:spacing w:before="320" w:after="120" w:line="288" w:lineRule="auto"/>
        <w:jc w:val="left"/>
        <w:outlineLvl w:val="1"/>
      </w:pPr>
      <w:bookmarkStart w:id="3" w:name="heading_22"/>
      <w:r>
        <w:rPr>
          <w:rFonts w:ascii="Arial" w:hAnsi="Arial" w:eastAsia="等线" w:cs="Arial"/>
          <w:b/>
          <w:sz w:val="32"/>
        </w:rPr>
        <w:t>三、研究结果</w:t>
      </w:r>
      <w:bookmarkEnd w:id="3"/>
    </w:p>
    <w:p w14:paraId="1110D9B0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1.  分布情况：10公里内共有6处相关设施，其中超市3处（小型1处、中型1处、大型1处），菜市场3处（小型1处、中型1处、大型1处），整体数量充足，但分布不均衡。</w:t>
      </w:r>
    </w:p>
    <w:p w14:paraId="5BE628C6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2.  便利性差异：</w:t>
      </w:r>
    </w:p>
    <w:p w14:paraId="7969A47A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 xml:space="preserve">   - 高便利度（步行10分钟内）：2处（小型超市、小型菜市场），使用率最高，满足居民日常少量采购需求。</w:t>
      </w:r>
    </w:p>
    <w:p w14:paraId="172B74BF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 xml:space="preserve">   - 中便利度（步行10-20分钟）：2处（中型超市、中型菜市场），使用率中等，适合周末集中采购。</w:t>
      </w:r>
    </w:p>
    <w:p w14:paraId="0A966B56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 xml:space="preserve">   - 低便利度（步行</w:t>
      </w:r>
      <w:r>
        <w:rPr>
          <w:rFonts w:hint="eastAsia" w:ascii="Arial" w:hAnsi="Arial" w:eastAsia="等线" w:cs="Arial"/>
          <w:sz w:val="22"/>
        </w:rPr>
        <w:t>1小时</w:t>
      </w:r>
      <w:r>
        <w:rPr>
          <w:rFonts w:ascii="Arial" w:hAnsi="Arial" w:eastAsia="等线" w:cs="Arial"/>
          <w:sz w:val="22"/>
        </w:rPr>
        <w:t>以上）：2处（大型超市、大型批发市场），使用率低，仅适合偶尔专门采购。</w:t>
      </w:r>
    </w:p>
    <w:p w14:paraId="5810E529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3.  居民需求：80%的居民认为“距离近”是选择采购场所的首要因素，75%的居民希望周边能增加中型综合设施（兼顾距离和品类），60%的居民反映小型设施品类不足，大型设施距离太远。</w:t>
      </w:r>
    </w:p>
    <w:p w14:paraId="07E91543">
      <w:pPr>
        <w:spacing w:before="320" w:after="120" w:line="288" w:lineRule="auto"/>
        <w:jc w:val="left"/>
        <w:outlineLvl w:val="1"/>
      </w:pPr>
      <w:bookmarkStart w:id="4" w:name="heading_23"/>
      <w:r>
        <w:rPr>
          <w:rFonts w:ascii="Arial" w:hAnsi="Arial" w:eastAsia="等线" w:cs="Arial"/>
          <w:b/>
          <w:sz w:val="32"/>
        </w:rPr>
        <w:t>四、研究结论</w:t>
      </w:r>
      <w:bookmarkEnd w:id="4"/>
    </w:p>
    <w:p w14:paraId="3056522E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1.  本地菜市场、超市的分布遵循“就近便民”的原则，小型便民设施贴近居民生活区，是居民日常采购的核心选择，距离是影响生活便利性的最关键因素。</w:t>
      </w:r>
    </w:p>
    <w:p w14:paraId="7E2C7C31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2.  设施分布不均衡，小型设施充足但品类有限，大型设施齐全但距离较远，中型综合设施（兼顾距离和品类）缺失，导致居民生活便利性未能达到最优。</w:t>
      </w:r>
    </w:p>
    <w:p w14:paraId="158D8C18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3.  商业服务设施的分布与居民密度、交通条件密切相关，符合初中地理“城市聚落服务设施需匹配居民需求”的核心知识点，合理的分布能有效提升居民生活质量。</w:t>
      </w:r>
    </w:p>
    <w:p w14:paraId="600F0DB8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4.  不同人群的需求存在差异，老人更注重食材新鲜和性价比，年轻人更注重品类和环境，设施分布应兼顾不同人群的需求。</w:t>
      </w:r>
    </w:p>
    <w:p w14:paraId="373BA250">
      <w:pPr>
        <w:spacing w:before="320" w:after="120" w:line="288" w:lineRule="auto"/>
        <w:jc w:val="left"/>
        <w:outlineLvl w:val="1"/>
      </w:pPr>
      <w:bookmarkStart w:id="5" w:name="heading_24"/>
      <w:r>
        <w:rPr>
          <w:rFonts w:ascii="Arial" w:hAnsi="Arial" w:eastAsia="等线" w:cs="Arial"/>
          <w:b/>
          <w:sz w:val="32"/>
        </w:rPr>
        <w:t>五、存在问题与不足</w:t>
      </w:r>
      <w:bookmarkEnd w:id="5"/>
    </w:p>
    <w:p w14:paraId="112FA5CA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1.  调查范围有限，仅覆盖居住地周边10公里，未能反映整个区域的商业设施分布情况，结论的普遍性不足。</w:t>
      </w:r>
    </w:p>
    <w:p w14:paraId="344BA425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2.  访谈人数较少（仅12人），且多为周边居民，样本不够全面，无法完全代表所有居民的需求。</w:t>
      </w:r>
    </w:p>
    <w:p w14:paraId="7AE23540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3.  未考虑交通方式（如骑行、公交）对便利性的影响，仅测量了步行时间和距离，分析不够全面。</w:t>
      </w:r>
    </w:p>
    <w:p w14:paraId="31E352B2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4.  未统计不同时间段（如傍晚、节假日）的人流量变化，对设施使用率的分析不够精准。</w:t>
      </w:r>
    </w:p>
    <w:p w14:paraId="61A2F66F">
      <w:pPr>
        <w:spacing w:before="320" w:after="120" w:line="288" w:lineRule="auto"/>
        <w:jc w:val="left"/>
        <w:outlineLvl w:val="1"/>
      </w:pPr>
      <w:bookmarkStart w:id="6" w:name="heading_25"/>
      <w:r>
        <w:rPr>
          <w:rFonts w:ascii="Arial" w:hAnsi="Arial" w:eastAsia="等线" w:cs="Arial"/>
          <w:b/>
          <w:sz w:val="32"/>
        </w:rPr>
        <w:t>六、对策与建议</w:t>
      </w:r>
      <w:bookmarkEnd w:id="6"/>
    </w:p>
    <w:p w14:paraId="7291F8D8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1.  优化设施分布：在居住区集中区域，增加1-2处中型综合菜市场或超市，兼顾距离和品类，填补中型设施的空白，提升整体便利性。</w:t>
      </w:r>
    </w:p>
    <w:p w14:paraId="3916703F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2.  完善小型设施品类：优化社区周边小型超市、菜市场的经营品类，补充居民常用的食材和日用品，满足日常少量采购需求。</w:t>
      </w:r>
    </w:p>
    <w:p w14:paraId="3F1DD0D8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3.  优化交通衔接：在大型、中型设施周边完善步行道、自行车道，增设公交站点，缩短居民出行时间，提升远距离设施的可达性。</w:t>
      </w:r>
    </w:p>
    <w:p w14:paraId="7B1F9D53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4.  贴合人群需求：在老年人集中的小区周边，增设便民菜市场，增加新鲜蔬菜、肉类的供应；在年轻人集中的区域，优化超市的品类和环境，提升购物体验。</w:t>
      </w:r>
    </w:p>
    <w:p w14:paraId="5EA51DDE">
      <w:pPr>
        <w:spacing w:before="320" w:after="120" w:line="288" w:lineRule="auto"/>
        <w:jc w:val="left"/>
        <w:outlineLvl w:val="1"/>
      </w:pPr>
      <w:bookmarkStart w:id="7" w:name="heading_26"/>
      <w:r>
        <w:rPr>
          <w:rFonts w:ascii="Arial" w:hAnsi="Arial" w:eastAsia="等线" w:cs="Arial"/>
          <w:b/>
          <w:sz w:val="32"/>
        </w:rPr>
        <w:t>七、研究收获与体会</w:t>
      </w:r>
      <w:bookmarkEnd w:id="7"/>
    </w:p>
    <w:p w14:paraId="62BB108E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通过本次地理课题探究，我不仅巩固了“城市聚落服务设施”的相关地理知识，更学会了将课本知识运用到生活实际中，掌握了实地观察、数据记录、访谈、分析问题的地理实践方法，提升了自己的观察能力和探究能力。</w:t>
      </w:r>
    </w:p>
    <w:p w14:paraId="5CBF1B8D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在调查过程中，我深刻体会到地理与生活的密切联系，原来城市里菜市场、超市的分布，背后也有地理规律可循，合理的设施分布能让居民的生活更便捷。同时，通过访谈居民，我也学会了倾听他人需求，增强了社会责任感。</w:t>
      </w:r>
    </w:p>
    <w:p w14:paraId="06DF9CDD">
      <w:pPr>
        <w:spacing w:before="120" w:after="120" w:line="288" w:lineRule="auto"/>
        <w:jc w:val="left"/>
      </w:pPr>
      <w:r>
        <w:rPr>
          <w:rFonts w:ascii="Arial" w:hAnsi="Arial" w:eastAsia="等线" w:cs="Arial"/>
          <w:sz w:val="22"/>
        </w:rPr>
        <w:t>这次课题也让我认识到，科学探究需要严谨的态度，从制定计划、实地调查到分析总结，每一步都不能马虎。虽然存在一些不足，但我积累了宝贵的实践经验，今后会更主动地观察身边的地理现象，践行“学习对生活有用的地理”的理念。</w:t>
      </w:r>
    </w:p>
    <w:p w14:paraId="23EB054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DAC"/>
    <w:rsid w:val="00174360"/>
    <w:rsid w:val="007215BF"/>
    <w:rsid w:val="00B63172"/>
    <w:rsid w:val="00D36DAC"/>
    <w:rsid w:val="00D744FE"/>
    <w:rsid w:val="024D00D5"/>
    <w:rsid w:val="53B3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1892</Words>
  <Characters>1932</Characters>
  <Lines>14</Lines>
  <Paragraphs>4</Paragraphs>
  <TotalTime>0</TotalTime>
  <ScaleCrop>false</ScaleCrop>
  <LinksUpToDate>false</LinksUpToDate>
  <CharactersWithSpaces>1984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2026-03-03T06:17:00Z</dcterms:created>
  <dc:creator>JW QI</dc:creator>
  <cp:lastModifiedBy>WPS_1602315719</cp:lastModifiedBy>
  <dcterms:modified xsi:type="dcterms:W3CDTF">2026-03-13T01:27:14Z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eyJoZGlkIjoiZDFkNWVkMWQ4YmMyY2JjZGFhYzMwZTU0OTZjY2Y5NDgiLCJ1c2VySWQiOiIxMTI5NDU5MTkxIn0=</vt:lpwstr>
  </property>
  <property fmtid="{D5CDD505-2E9C-101B-9397-08002B2CF9AE}" pid="3" name="KSOProductBuildVer">
    <vt:lpwstr>2052-12.1.0.25225</vt:lpwstr>
  </property>
  <property fmtid="{D5CDD505-2E9C-101B-9397-08002B2CF9AE}" pid="4" name="ICV">
    <vt:lpwstr>E6E8AD30251C42E99961C1EED9146FD6_12</vt:lpwstr>
  </property>
</Properties>
</file>