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sz w:val="48"/>
          <w:szCs w:val="48"/>
        </w:rPr>
      </w:pPr>
    </w:p>
    <w:p>
      <w:pPr>
        <w:jc w:val="center"/>
        <w:rPr>
          <w:rFonts w:ascii="楷体" w:hAnsi="楷体" w:eastAsia="楷体"/>
          <w:b/>
          <w:bCs/>
          <w:sz w:val="84"/>
          <w:szCs w:val="84"/>
        </w:rPr>
      </w:pPr>
      <w:r>
        <w:rPr>
          <w:rFonts w:hint="eastAsia" w:ascii="宋体" w:hAnsi="宋体" w:eastAsia="宋体"/>
          <w:b/>
          <w:bCs/>
          <w:sz w:val="84"/>
          <w:szCs w:val="84"/>
          <w:lang w:val="en-US" w:eastAsia="zh-CN"/>
        </w:rPr>
        <w:t>民法典普及概况</w:t>
      </w:r>
      <w:r>
        <w:rPr>
          <w:rFonts w:hint="eastAsia" w:ascii="宋体" w:hAnsi="宋体" w:eastAsia="宋体"/>
          <w:b/>
          <w:bCs/>
          <w:sz w:val="84"/>
          <w:szCs w:val="84"/>
        </w:rPr>
        <w:t>研究</w:t>
      </w:r>
    </w:p>
    <w:p>
      <w:pPr>
        <w:rPr>
          <w:rFonts w:hint="eastAsia" w:ascii="楷体" w:hAnsi="楷体" w:eastAsia="楷体"/>
          <w:sz w:val="110"/>
          <w:szCs w:val="110"/>
          <w:lang w:val="en-US" w:eastAsia="zh-CN"/>
        </w:rPr>
      </w:pPr>
      <w:r>
        <w:rPr>
          <w:rFonts w:hint="eastAsia" w:ascii="楷体" w:hAnsi="楷体" w:eastAsia="楷体"/>
          <w:sz w:val="110"/>
          <w:szCs w:val="110"/>
        </w:rPr>
        <w:t xml:space="preserve"> </w:t>
      </w:r>
      <w:r>
        <w:rPr>
          <w:rFonts w:ascii="楷体" w:hAnsi="楷体" w:eastAsia="楷体"/>
          <w:sz w:val="110"/>
          <w:szCs w:val="110"/>
        </w:rPr>
        <w:t xml:space="preserve">      </w:t>
      </w:r>
      <w:r>
        <w:rPr>
          <w:rFonts w:hint="eastAsia" w:ascii="楷体" w:hAnsi="楷体" w:eastAsia="楷体"/>
          <w:sz w:val="110"/>
          <w:szCs w:val="110"/>
          <w:lang w:val="en-US" w:eastAsia="zh-CN"/>
        </w:rPr>
        <w:t xml:space="preserve"> </w:t>
      </w:r>
    </w:p>
    <w:p>
      <w:pPr>
        <w:ind w:firstLine="3840" w:firstLineChars="400"/>
        <w:rPr>
          <w:rFonts w:hint="eastAsia" w:ascii="楷体" w:hAnsi="楷体" w:eastAsia="楷体"/>
          <w:sz w:val="96"/>
          <w:szCs w:val="96"/>
        </w:rPr>
      </w:pPr>
      <w:r>
        <w:rPr>
          <w:rFonts w:hint="eastAsia" w:ascii="楷体" w:hAnsi="楷体" w:eastAsia="楷体"/>
          <w:sz w:val="96"/>
          <w:szCs w:val="96"/>
        </w:rPr>
        <w:t>开</w:t>
      </w:r>
    </w:p>
    <w:p>
      <w:pPr>
        <w:ind w:firstLine="3840" w:firstLineChars="400"/>
        <w:rPr>
          <w:rFonts w:hint="eastAsia" w:ascii="楷体" w:hAnsi="楷体" w:eastAsia="楷体"/>
          <w:sz w:val="96"/>
          <w:szCs w:val="96"/>
        </w:rPr>
      </w:pPr>
      <w:r>
        <w:rPr>
          <w:rFonts w:hint="eastAsia" w:ascii="楷体" w:hAnsi="楷体" w:eastAsia="楷体"/>
          <w:sz w:val="96"/>
          <w:szCs w:val="96"/>
        </w:rPr>
        <w:t>题</w:t>
      </w:r>
    </w:p>
    <w:p>
      <w:pPr>
        <w:ind w:firstLine="3840" w:firstLineChars="400"/>
        <w:rPr>
          <w:rFonts w:hint="eastAsia" w:ascii="楷体" w:hAnsi="楷体" w:eastAsia="楷体"/>
          <w:sz w:val="96"/>
          <w:szCs w:val="96"/>
        </w:rPr>
      </w:pPr>
      <w:r>
        <w:rPr>
          <w:rFonts w:hint="eastAsia" w:ascii="楷体" w:hAnsi="楷体" w:eastAsia="楷体"/>
          <w:sz w:val="96"/>
          <w:szCs w:val="96"/>
        </w:rPr>
        <w:t>报</w:t>
      </w:r>
    </w:p>
    <w:p>
      <w:pPr>
        <w:ind w:firstLine="3840" w:firstLineChars="400"/>
        <w:rPr>
          <w:rFonts w:ascii="楷体" w:hAnsi="楷体" w:eastAsia="楷体"/>
          <w:sz w:val="96"/>
          <w:szCs w:val="96"/>
        </w:rPr>
      </w:pPr>
      <w:r>
        <w:rPr>
          <w:rFonts w:hint="eastAsia" w:ascii="楷体" w:hAnsi="楷体" w:eastAsia="楷体"/>
          <w:sz w:val="96"/>
          <w:szCs w:val="96"/>
        </w:rPr>
        <w:t>告</w:t>
      </w:r>
    </w:p>
    <w:p>
      <w:pPr>
        <w:rPr>
          <w:rFonts w:ascii="楷体" w:hAnsi="楷体" w:eastAsia="楷体"/>
          <w:sz w:val="110"/>
          <w:szCs w:val="110"/>
        </w:rPr>
      </w:pPr>
      <w:r>
        <w:rPr>
          <w:rFonts w:hint="eastAsia" w:ascii="楷体" w:hAnsi="楷体" w:eastAsia="楷体"/>
          <w:sz w:val="110"/>
          <w:szCs w:val="110"/>
        </w:rPr>
        <w:t xml:space="preserve"> </w:t>
      </w:r>
      <w:r>
        <w:rPr>
          <w:rFonts w:ascii="楷体" w:hAnsi="楷体" w:eastAsia="楷体"/>
          <w:sz w:val="110"/>
          <w:szCs w:val="110"/>
        </w:rPr>
        <w:t xml:space="preserve">       </w:t>
      </w:r>
    </w:p>
    <w:p>
      <w:pPr>
        <w:rPr>
          <w:rFonts w:hint="eastAsia" w:ascii="宋体" w:hAnsi="宋体" w:eastAsia="宋体"/>
          <w:sz w:val="34"/>
          <w:szCs w:val="34"/>
          <w:lang w:eastAsia="zh-CN"/>
        </w:rPr>
      </w:pPr>
      <w:r>
        <w:rPr>
          <w:rFonts w:hint="eastAsia" w:ascii="宋体" w:hAnsi="宋体" w:eastAsia="宋体"/>
          <w:sz w:val="34"/>
          <w:szCs w:val="34"/>
        </w:rPr>
        <w:t>主 持 人：</w:t>
      </w:r>
      <w:r>
        <w:rPr>
          <w:rFonts w:hint="eastAsia" w:ascii="宋体" w:hAnsi="宋体" w:eastAsia="宋体"/>
          <w:sz w:val="34"/>
          <w:szCs w:val="34"/>
          <w:u w:val="single"/>
          <w:lang w:eastAsia="zh-CN"/>
        </w:rPr>
        <w:t>袁睦尧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textAlignment w:val="auto"/>
        <w:rPr>
          <w:rFonts w:ascii="宋体" w:hAnsi="宋体" w:eastAsia="宋体"/>
          <w:sz w:val="34"/>
          <w:szCs w:val="34"/>
        </w:rPr>
      </w:pPr>
      <w:r>
        <w:rPr>
          <w:rFonts w:hint="eastAsia" w:ascii="宋体" w:hAnsi="宋体" w:eastAsia="宋体"/>
          <w:sz w:val="34"/>
          <w:szCs w:val="34"/>
        </w:rPr>
        <w:t xml:space="preserve">组 </w:t>
      </w:r>
      <w:r>
        <w:rPr>
          <w:rFonts w:ascii="宋体" w:hAnsi="宋体" w:eastAsia="宋体"/>
          <w:sz w:val="34"/>
          <w:szCs w:val="34"/>
        </w:rPr>
        <w:t xml:space="preserve"> </w:t>
      </w:r>
      <w:r>
        <w:rPr>
          <w:rFonts w:hint="eastAsia" w:ascii="宋体" w:hAnsi="宋体" w:eastAsia="宋体"/>
          <w:sz w:val="34"/>
          <w:szCs w:val="34"/>
        </w:rPr>
        <w:t xml:space="preserve">员 </w:t>
      </w:r>
      <w:r>
        <w:rPr>
          <w:rFonts w:ascii="宋体" w:hAnsi="宋体" w:eastAsia="宋体"/>
          <w:sz w:val="34"/>
          <w:szCs w:val="34"/>
        </w:rPr>
        <w:t xml:space="preserve"> </w:t>
      </w:r>
      <w:r>
        <w:rPr>
          <w:rFonts w:hint="eastAsia" w:ascii="宋体" w:hAnsi="宋体" w:eastAsia="宋体"/>
          <w:sz w:val="34"/>
          <w:szCs w:val="34"/>
        </w:rPr>
        <w:t>：</w:t>
      </w:r>
      <w:r>
        <w:rPr>
          <w:rFonts w:hint="eastAsia" w:ascii="宋体" w:hAnsi="宋体" w:eastAsia="宋体"/>
          <w:sz w:val="34"/>
          <w:szCs w:val="34"/>
          <w:u w:val="single"/>
          <w:lang w:eastAsia="zh-CN"/>
        </w:rPr>
        <w:t>朱济舟</w:t>
      </w:r>
      <w:r>
        <w:rPr>
          <w:rFonts w:hint="eastAsia" w:ascii="宋体" w:hAnsi="宋体" w:eastAsia="宋体"/>
          <w:sz w:val="34"/>
          <w:szCs w:val="3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/>
          <w:sz w:val="34"/>
          <w:szCs w:val="34"/>
          <w:u w:val="single"/>
        </w:rPr>
        <w:t>房语琪</w:t>
      </w:r>
      <w:r>
        <w:rPr>
          <w:rFonts w:hint="eastAsia" w:ascii="宋体" w:hAnsi="宋体" w:eastAsia="宋体"/>
          <w:sz w:val="34"/>
          <w:szCs w:val="3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/>
          <w:sz w:val="34"/>
          <w:szCs w:val="34"/>
          <w:u w:val="single"/>
        </w:rPr>
        <w:t>刘宇彤</w:t>
      </w:r>
      <w:r>
        <w:rPr>
          <w:rFonts w:hint="eastAsia" w:ascii="宋体" w:hAnsi="宋体" w:eastAsia="宋体"/>
          <w:sz w:val="34"/>
          <w:szCs w:val="34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34"/>
          <w:szCs w:val="34"/>
          <w:u w:val="single"/>
          <w:lang w:val="en-US" w:eastAsia="zh-CN"/>
        </w:rPr>
        <w:t>杨芷蘅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textAlignment w:val="auto"/>
        <w:rPr>
          <w:rFonts w:hint="eastAsia" w:ascii="宋体" w:hAnsi="宋体" w:eastAsia="宋体"/>
          <w:sz w:val="34"/>
          <w:szCs w:val="34"/>
          <w:lang w:val="en-US" w:eastAsia="zh-CN"/>
        </w:rPr>
      </w:pPr>
      <w:r>
        <w:rPr>
          <w:rFonts w:hint="eastAsia" w:ascii="宋体" w:hAnsi="宋体" w:eastAsia="宋体"/>
          <w:sz w:val="34"/>
          <w:szCs w:val="34"/>
        </w:rPr>
        <w:t>指导老师：</w:t>
      </w:r>
      <w:r>
        <w:rPr>
          <w:rFonts w:hint="eastAsia" w:ascii="宋体" w:hAnsi="宋体" w:eastAsia="宋体"/>
          <w:sz w:val="34"/>
          <w:szCs w:val="34"/>
          <w:u w:val="single"/>
          <w:lang w:val="en-US" w:eastAsia="zh-CN"/>
        </w:rPr>
        <w:t>杨双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textAlignment w:val="auto"/>
        <w:rPr>
          <w:rFonts w:ascii="宋体" w:hAnsi="宋体" w:eastAsia="宋体"/>
          <w:sz w:val="34"/>
          <w:szCs w:val="34"/>
          <w:u w:val="single"/>
        </w:rPr>
      </w:pPr>
      <w:r>
        <w:rPr>
          <w:rFonts w:hint="eastAsia" w:ascii="宋体" w:hAnsi="宋体" w:eastAsia="宋体"/>
          <w:sz w:val="34"/>
          <w:szCs w:val="34"/>
        </w:rPr>
        <w:t xml:space="preserve">学 </w:t>
      </w:r>
      <w:r>
        <w:rPr>
          <w:rFonts w:ascii="宋体" w:hAnsi="宋体" w:eastAsia="宋体"/>
          <w:sz w:val="34"/>
          <w:szCs w:val="34"/>
        </w:rPr>
        <w:t xml:space="preserve"> </w:t>
      </w:r>
      <w:r>
        <w:rPr>
          <w:rFonts w:hint="eastAsia" w:ascii="宋体" w:hAnsi="宋体" w:eastAsia="宋体"/>
          <w:sz w:val="34"/>
          <w:szCs w:val="34"/>
        </w:rPr>
        <w:t xml:space="preserve">校 </w:t>
      </w:r>
      <w:r>
        <w:rPr>
          <w:rFonts w:ascii="宋体" w:hAnsi="宋体" w:eastAsia="宋体"/>
          <w:sz w:val="34"/>
          <w:szCs w:val="34"/>
        </w:rPr>
        <w:t xml:space="preserve"> </w:t>
      </w:r>
      <w:r>
        <w:rPr>
          <w:rFonts w:hint="eastAsia" w:ascii="宋体" w:hAnsi="宋体" w:eastAsia="宋体"/>
          <w:sz w:val="34"/>
          <w:szCs w:val="34"/>
        </w:rPr>
        <w:t>：</w:t>
      </w:r>
      <w:r>
        <w:rPr>
          <w:rFonts w:hint="eastAsia" w:ascii="宋体" w:hAnsi="宋体" w:eastAsia="宋体"/>
          <w:sz w:val="34"/>
          <w:szCs w:val="34"/>
          <w:u w:val="single"/>
        </w:rPr>
        <w:t>中国矿业大学附属中学</w:t>
      </w:r>
    </w:p>
    <w:p>
      <w:pPr>
        <w:rPr>
          <w:rFonts w:ascii="宋体" w:hAnsi="宋体" w:eastAsia="宋体"/>
          <w:sz w:val="34"/>
          <w:szCs w:val="34"/>
          <w:u w:val="single"/>
        </w:rPr>
      </w:pPr>
    </w:p>
    <w:p>
      <w:pPr>
        <w:rPr>
          <w:rFonts w:ascii="楷体" w:hAnsi="楷体" w:eastAsia="楷体"/>
          <w:b/>
          <w:bCs/>
          <w:sz w:val="48"/>
          <w:szCs w:val="48"/>
        </w:rPr>
      </w:pPr>
      <w:r>
        <w:rPr>
          <w:rFonts w:hint="eastAsia" w:ascii="楷体" w:hAnsi="楷体" w:eastAsia="楷体"/>
          <w:b/>
          <w:bCs/>
          <w:sz w:val="48"/>
          <w:szCs w:val="48"/>
        </w:rPr>
        <w:t>1</w:t>
      </w:r>
      <w:r>
        <w:rPr>
          <w:rFonts w:ascii="楷体" w:hAnsi="楷体" w:eastAsia="楷体"/>
          <w:b/>
          <w:bCs/>
          <w:sz w:val="48"/>
          <w:szCs w:val="48"/>
        </w:rPr>
        <w:t>.</w:t>
      </w:r>
      <w:r>
        <w:rPr>
          <w:rFonts w:hint="eastAsia" w:ascii="楷体" w:hAnsi="楷体" w:eastAsia="楷体"/>
          <w:b/>
          <w:bCs/>
          <w:sz w:val="48"/>
          <w:szCs w:val="48"/>
        </w:rPr>
        <w:t>研究背景</w:t>
      </w:r>
    </w:p>
    <w:p>
      <w:pPr>
        <w:ind w:firstLine="660" w:firstLineChars="200"/>
        <w:rPr>
          <w:rFonts w:hint="eastAsia" w:ascii="宋体" w:hAnsi="宋体" w:eastAsia="宋体" w:cs="宋体"/>
          <w:i w:val="0"/>
          <w:iCs w:val="0"/>
          <w:caps w:val="0"/>
          <w:color w:val="191919"/>
          <w:spacing w:val="5"/>
          <w:sz w:val="32"/>
          <w:szCs w:val="32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5"/>
          <w:sz w:val="32"/>
          <w:szCs w:val="32"/>
          <w:shd w:val="clear" w:fill="FFFFFF"/>
        </w:rPr>
        <w:t>“一个民族、一个国家、一部民法典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5"/>
          <w:sz w:val="32"/>
          <w:szCs w:val="32"/>
          <w:shd w:val="clear" w:fill="FFFFFF"/>
          <w:lang w:eastAsia="zh-CN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5"/>
          <w:sz w:val="32"/>
          <w:szCs w:val="32"/>
          <w:shd w:val="clear" w:fill="FFFFFF"/>
        </w:rPr>
        <w:t>”</w:t>
      </w:r>
    </w:p>
    <w:p>
      <w:pPr>
        <w:ind w:firstLine="660" w:firstLineChars="200"/>
        <w:rPr>
          <w:rFonts w:hint="eastAsia" w:ascii="宋体" w:hAnsi="宋体" w:eastAsia="宋体" w:cs="宋体"/>
          <w:i w:val="0"/>
          <w:iCs w:val="0"/>
          <w:caps w:val="0"/>
          <w:color w:val="191919"/>
          <w:spacing w:val="5"/>
          <w:sz w:val="32"/>
          <w:szCs w:val="32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5"/>
          <w:sz w:val="32"/>
          <w:szCs w:val="32"/>
          <w:shd w:val="clear" w:fill="FFFFFF"/>
        </w:rPr>
        <w:t>新中国成立以来，民法典的制定和编纂历经波折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5"/>
          <w:sz w:val="32"/>
          <w:szCs w:val="32"/>
          <w:shd w:val="clear" w:fill="FFFFFF"/>
          <w:lang w:eastAsia="zh-CN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5"/>
          <w:sz w:val="32"/>
          <w:szCs w:val="32"/>
          <w:shd w:val="clear" w:fill="FFFFFF"/>
        </w:rPr>
        <w:t>2020年5月28日，第十三届全国人大第三次会议正式通过了《中华人民共和国民法典》，共7编、1260条，各编依次为总则、物权、合同、人格权、婚姻家庭、继承、侵权责任，以及附则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5"/>
          <w:sz w:val="32"/>
          <w:szCs w:val="32"/>
          <w:shd w:val="clear" w:fill="FFFFFF"/>
          <w:lang w:eastAsia="zh-CN"/>
        </w:rPr>
        <w:t>。</w:t>
      </w:r>
    </w:p>
    <w:p>
      <w:pPr>
        <w:ind w:firstLine="660" w:firstLineChars="200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5"/>
          <w:sz w:val="32"/>
          <w:szCs w:val="32"/>
          <w:shd w:val="clear" w:fill="FFFFFF"/>
          <w:lang w:eastAsia="zh-CN"/>
        </w:rPr>
        <w:t>民法典于今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5"/>
          <w:sz w:val="32"/>
          <w:szCs w:val="32"/>
          <w:shd w:val="clear" w:fill="FFFFFF"/>
        </w:rPr>
        <w:t>2021年1月1日起施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5"/>
          <w:sz w:val="32"/>
          <w:szCs w:val="32"/>
          <w:shd w:val="clear" w:fill="FFFFFF"/>
          <w:lang w:eastAsia="zh-CN"/>
        </w:rPr>
        <w:t>，在日常生活中，它涉及到我们生活的方方面面，已经起到了不可替代的作用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5"/>
          <w:sz w:val="32"/>
          <w:szCs w:val="32"/>
          <w:shd w:val="clear" w:fill="FFFFFF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5"/>
          <w:sz w:val="32"/>
          <w:szCs w:val="32"/>
          <w:shd w:val="clear" w:fill="FFFFFF"/>
          <w:lang w:eastAsia="zh-CN"/>
        </w:rPr>
        <w:t>作为新时代的中国公民，对民法典的学习、遵守和维护是我们建设新时代、新社会不可或缺的一部分，所以加强对民法典的宣传迫在眉睫。</w:t>
      </w:r>
    </w:p>
    <w:p>
      <w:pPr>
        <w:rPr>
          <w:rFonts w:ascii="楷体" w:hAnsi="楷体" w:eastAsia="楷体"/>
          <w:b/>
          <w:bCs/>
          <w:sz w:val="48"/>
          <w:szCs w:val="48"/>
        </w:rPr>
      </w:pPr>
      <w:r>
        <w:rPr>
          <w:rFonts w:hint="eastAsia" w:ascii="楷体" w:hAnsi="楷体" w:eastAsia="楷体"/>
          <w:b/>
          <w:bCs/>
          <w:sz w:val="48"/>
          <w:szCs w:val="48"/>
        </w:rPr>
        <w:t>2</w:t>
      </w:r>
      <w:r>
        <w:rPr>
          <w:rFonts w:ascii="楷体" w:hAnsi="楷体" w:eastAsia="楷体"/>
          <w:b/>
          <w:bCs/>
          <w:sz w:val="48"/>
          <w:szCs w:val="48"/>
        </w:rPr>
        <w:t>.</w:t>
      </w:r>
      <w:r>
        <w:rPr>
          <w:rFonts w:hint="eastAsia" w:ascii="楷体" w:hAnsi="楷体" w:eastAsia="楷体"/>
          <w:b/>
          <w:bCs/>
          <w:sz w:val="48"/>
          <w:szCs w:val="48"/>
        </w:rPr>
        <w:t>研究价值</w:t>
      </w:r>
    </w:p>
    <w:p>
      <w:pPr>
        <w:rPr>
          <w:rFonts w:hint="eastAsia" w:ascii="微软雅黑" w:hAnsi="微软雅黑" w:eastAsia="宋体" w:cs="微软雅黑"/>
          <w:i w:val="0"/>
          <w:iCs w:val="0"/>
          <w:caps w:val="0"/>
          <w:color w:val="191919"/>
          <w:spacing w:val="5"/>
          <w:sz w:val="27"/>
          <w:szCs w:val="27"/>
          <w:shd w:val="clear" w:fill="FFFFFF"/>
          <w:lang w:eastAsia="zh-CN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191919"/>
          <w:spacing w:val="5"/>
          <w:sz w:val="27"/>
          <w:szCs w:val="27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91919"/>
          <w:spacing w:val="5"/>
          <w:sz w:val="27"/>
          <w:szCs w:val="27"/>
          <w:shd w:val="clear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5"/>
          <w:sz w:val="32"/>
          <w:szCs w:val="32"/>
          <w:shd w:val="clear" w:fill="FFFFFF"/>
        </w:rPr>
        <w:t>民法典在中国特色社会主义法律体系中具有重要地位，是一部固根本、稳预期、利长远的基础性法律，涉及社会和经济生活的方方面面，被称为“社会生活的百科全书”。民法典的颁布，对推进全面依法治国、促进社会主义市场经济健康发展、依法维护人民权益，推进国家治理体系和治理能力现代化，都具有重大意义。</w:t>
      </w:r>
      <w:r>
        <w:rPr>
          <w:rFonts w:hint="eastAsia" w:ascii="宋体" w:hAnsi="宋体" w:eastAsia="宋体" w:cs="宋体"/>
          <w:i w:val="0"/>
          <w:iCs w:val="0"/>
          <w:caps w:val="0"/>
          <w:color w:val="191919"/>
          <w:spacing w:val="5"/>
          <w:sz w:val="32"/>
          <w:szCs w:val="32"/>
          <w:shd w:val="clear" w:fill="FFFFFF"/>
          <w:lang w:eastAsia="zh-CN"/>
        </w:rPr>
        <w:t>我们小组决定，通过调查、研究、分析民法典的了解情况，合理有效地提高人们对民法典的认识。</w:t>
      </w:r>
    </w:p>
    <w:p>
      <w:pPr>
        <w:rPr>
          <w:rFonts w:ascii="楷体" w:hAnsi="楷体" w:eastAsia="楷体"/>
          <w:b/>
          <w:bCs/>
          <w:sz w:val="48"/>
          <w:szCs w:val="48"/>
        </w:rPr>
      </w:pPr>
      <w:r>
        <w:rPr>
          <w:rFonts w:hint="eastAsia" w:ascii="楷体" w:hAnsi="楷体" w:eastAsia="楷体"/>
          <w:b/>
          <w:bCs/>
          <w:sz w:val="48"/>
          <w:szCs w:val="48"/>
        </w:rPr>
        <w:t>3</w:t>
      </w:r>
      <w:r>
        <w:rPr>
          <w:rFonts w:ascii="楷体" w:hAnsi="楷体" w:eastAsia="楷体"/>
          <w:b/>
          <w:bCs/>
          <w:sz w:val="48"/>
          <w:szCs w:val="48"/>
        </w:rPr>
        <w:t>.</w:t>
      </w:r>
      <w:r>
        <w:rPr>
          <w:rFonts w:hint="eastAsia" w:ascii="楷体" w:hAnsi="楷体" w:eastAsia="楷体"/>
          <w:b/>
          <w:bCs/>
          <w:sz w:val="48"/>
          <w:szCs w:val="48"/>
        </w:rPr>
        <w:t>研究内容</w:t>
      </w:r>
    </w:p>
    <w:p>
      <w:pPr>
        <w:pStyle w:val="4"/>
        <w:numPr>
          <w:ilvl w:val="0"/>
          <w:numId w:val="1"/>
        </w:numPr>
        <w:ind w:firstLineChars="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调查</w:t>
      </w:r>
      <w:r>
        <w:rPr>
          <w:rFonts w:hint="eastAsia" w:ascii="宋体" w:hAnsi="宋体" w:eastAsia="宋体"/>
          <w:sz w:val="32"/>
          <w:szCs w:val="32"/>
          <w:lang w:eastAsia="zh-CN"/>
        </w:rPr>
        <w:t>公民对民法典的了解程度</w:t>
      </w:r>
    </w:p>
    <w:p>
      <w:pPr>
        <w:pStyle w:val="4"/>
        <w:numPr>
          <w:ilvl w:val="0"/>
          <w:numId w:val="1"/>
        </w:numPr>
        <w:ind w:firstLineChars="0"/>
        <w:rPr>
          <w:rFonts w:hint="eastAsia"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分析</w:t>
      </w:r>
      <w:r>
        <w:rPr>
          <w:rFonts w:hint="eastAsia" w:ascii="宋体" w:hAnsi="宋体" w:eastAsia="宋体"/>
          <w:sz w:val="32"/>
          <w:szCs w:val="32"/>
          <w:lang w:eastAsia="zh-CN"/>
        </w:rPr>
        <w:t>民法典对我们的生活起到怎样至关重要的影响与意义</w:t>
      </w:r>
    </w:p>
    <w:p>
      <w:pPr>
        <w:pStyle w:val="4"/>
        <w:numPr>
          <w:ilvl w:val="0"/>
          <w:numId w:val="1"/>
        </w:numPr>
        <w:ind w:firstLineChars="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为</w:t>
      </w:r>
      <w:r>
        <w:rPr>
          <w:rFonts w:hint="eastAsia" w:ascii="宋体" w:hAnsi="宋体" w:eastAsia="宋体"/>
          <w:sz w:val="32"/>
          <w:szCs w:val="32"/>
          <w:lang w:eastAsia="zh-CN"/>
        </w:rPr>
        <w:t>加强公民对民法典的认识</w:t>
      </w:r>
      <w:r>
        <w:rPr>
          <w:rFonts w:hint="eastAsia" w:ascii="宋体" w:hAnsi="宋体" w:eastAsia="宋体"/>
          <w:sz w:val="32"/>
          <w:szCs w:val="32"/>
        </w:rPr>
        <w:t>提出切实性，可行性方案</w:t>
      </w:r>
    </w:p>
    <w:p>
      <w:pPr>
        <w:pStyle w:val="4"/>
        <w:numPr>
          <w:ilvl w:val="0"/>
          <w:numId w:val="1"/>
        </w:numPr>
        <w:ind w:firstLineChars="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总结反思</w:t>
      </w:r>
    </w:p>
    <w:p>
      <w:pPr>
        <w:rPr>
          <w:rFonts w:ascii="楷体" w:hAnsi="楷体" w:eastAsia="楷体"/>
          <w:b/>
          <w:bCs/>
          <w:sz w:val="48"/>
          <w:szCs w:val="48"/>
        </w:rPr>
      </w:pPr>
      <w:r>
        <w:rPr>
          <w:rFonts w:ascii="楷体" w:hAnsi="楷体" w:eastAsia="楷体"/>
          <w:b/>
          <w:bCs/>
          <w:sz w:val="48"/>
          <w:szCs w:val="48"/>
        </w:rPr>
        <w:t>4.</w:t>
      </w:r>
      <w:r>
        <w:rPr>
          <w:rFonts w:hint="eastAsia" w:ascii="楷体" w:hAnsi="楷体" w:eastAsia="楷体"/>
          <w:b/>
          <w:bCs/>
          <w:sz w:val="48"/>
          <w:szCs w:val="48"/>
        </w:rPr>
        <w:t>预期研究成果</w:t>
      </w:r>
    </w:p>
    <w:p>
      <w:pPr>
        <w:pStyle w:val="4"/>
        <w:numPr>
          <w:ilvl w:val="0"/>
          <w:numId w:val="2"/>
        </w:numPr>
        <w:ind w:firstLineChars="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制定出有关</w:t>
      </w:r>
      <w:r>
        <w:rPr>
          <w:rFonts w:hint="eastAsia" w:ascii="宋体" w:hAnsi="宋体" w:eastAsia="宋体"/>
          <w:sz w:val="32"/>
          <w:szCs w:val="32"/>
          <w:lang w:eastAsia="zh-CN"/>
        </w:rPr>
        <w:t>了解与认识民法典</w:t>
      </w:r>
      <w:r>
        <w:rPr>
          <w:rFonts w:hint="eastAsia" w:ascii="宋体" w:hAnsi="宋体" w:eastAsia="宋体"/>
          <w:sz w:val="32"/>
          <w:szCs w:val="32"/>
        </w:rPr>
        <w:t>的具体做法实施方案，引起</w:t>
      </w:r>
      <w:r>
        <w:rPr>
          <w:rFonts w:hint="eastAsia" w:ascii="宋体" w:hAnsi="宋体" w:eastAsia="宋体"/>
          <w:sz w:val="32"/>
          <w:szCs w:val="32"/>
          <w:lang w:eastAsia="zh-CN"/>
        </w:rPr>
        <w:t>公民对民法典时代意义的</w:t>
      </w:r>
      <w:r>
        <w:rPr>
          <w:rFonts w:hint="eastAsia" w:ascii="宋体" w:hAnsi="宋体" w:eastAsia="宋体"/>
          <w:sz w:val="32"/>
          <w:szCs w:val="32"/>
        </w:rPr>
        <w:t>重视，进行实证性研究，在数据的比对中发现问题，解决问题</w:t>
      </w:r>
    </w:p>
    <w:p>
      <w:pPr>
        <w:pStyle w:val="4"/>
        <w:numPr>
          <w:ilvl w:val="0"/>
          <w:numId w:val="2"/>
        </w:numPr>
        <w:ind w:firstLineChars="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收集、归纳和整理数据。总结、提炼出其研究核心成果，以论文形式进行课题结题，完美呈现</w:t>
      </w:r>
    </w:p>
    <w:p>
      <w:pPr>
        <w:rPr>
          <w:rFonts w:hint="eastAsia" w:ascii="楷体" w:hAnsi="楷体" w:eastAsia="楷体"/>
          <w:b/>
          <w:bCs/>
          <w:sz w:val="48"/>
          <w:szCs w:val="48"/>
        </w:rPr>
      </w:pPr>
      <w:r>
        <w:rPr>
          <w:rFonts w:ascii="楷体" w:hAnsi="楷体" w:eastAsia="楷体"/>
          <w:b/>
          <w:bCs/>
          <w:sz w:val="48"/>
          <w:szCs w:val="48"/>
        </w:rPr>
        <w:t>5.</w:t>
      </w:r>
      <w:r>
        <w:rPr>
          <w:rFonts w:hint="eastAsia" w:ascii="楷体" w:hAnsi="楷体" w:eastAsia="楷体"/>
          <w:b/>
          <w:bCs/>
          <w:sz w:val="48"/>
          <w:szCs w:val="48"/>
        </w:rPr>
        <w:t>小组分工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房语琪：撰写开题报告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  <w:lang w:eastAsia="zh-CN"/>
        </w:rPr>
        <w:t>袁睦尧</w:t>
      </w:r>
      <w:r>
        <w:rPr>
          <w:rFonts w:hint="eastAsia" w:ascii="宋体" w:hAnsi="宋体" w:eastAsia="宋体"/>
          <w:sz w:val="32"/>
          <w:szCs w:val="32"/>
        </w:rPr>
        <w:t>：制作调查问卷并通过随机抽</w:t>
      </w:r>
      <w:bookmarkStart w:id="0" w:name="_GoBack"/>
      <w:bookmarkEnd w:id="0"/>
      <w:r>
        <w:rPr>
          <w:rFonts w:hint="eastAsia" w:ascii="宋体" w:hAnsi="宋体" w:eastAsia="宋体"/>
          <w:sz w:val="32"/>
          <w:szCs w:val="32"/>
        </w:rPr>
        <w:t>样分发问卷</w:t>
      </w:r>
      <w:r>
        <w:rPr>
          <w:rFonts w:hint="eastAsia" w:ascii="宋体" w:hAnsi="宋体" w:eastAsia="宋体"/>
          <w:sz w:val="32"/>
          <w:szCs w:val="32"/>
          <w:lang w:eastAsia="zh-CN"/>
        </w:rPr>
        <w:t>，</w:t>
      </w:r>
      <w:r>
        <w:rPr>
          <w:rFonts w:hint="eastAsia" w:ascii="宋体" w:hAnsi="宋体" w:eastAsia="宋体"/>
          <w:sz w:val="32"/>
          <w:szCs w:val="32"/>
        </w:rPr>
        <w:t>统计数据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  <w:lang w:val="en-US" w:eastAsia="zh-CN"/>
        </w:rPr>
        <w:t>朱济舟</w:t>
      </w:r>
      <w:r>
        <w:rPr>
          <w:rFonts w:hint="eastAsia" w:ascii="宋体" w:hAnsi="宋体" w:eastAsia="宋体"/>
          <w:sz w:val="32"/>
          <w:szCs w:val="32"/>
        </w:rPr>
        <w:t>：汇总结果，制作研究成果展示PPT</w:t>
      </w:r>
    </w:p>
    <w:p>
      <w:pPr>
        <w:rPr>
          <w:rFonts w:hint="eastAsia"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  <w:lang w:eastAsia="zh-CN"/>
        </w:rPr>
        <w:t>刘宇彤</w:t>
      </w:r>
      <w:r>
        <w:rPr>
          <w:rFonts w:hint="eastAsia" w:ascii="宋体" w:hAnsi="宋体" w:eastAsia="宋体"/>
          <w:sz w:val="32"/>
          <w:szCs w:val="32"/>
        </w:rPr>
        <w:t>：撰写结题报告</w:t>
      </w:r>
    </w:p>
    <w:p/>
    <w:sectPr>
      <w:pgSz w:w="11906" w:h="16838"/>
      <w:pgMar w:top="1440" w:right="1463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3E4AF1"/>
    <w:multiLevelType w:val="multilevel"/>
    <w:tmpl w:val="263E4AF1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80B40C8"/>
    <w:multiLevelType w:val="multilevel"/>
    <w:tmpl w:val="680B40C8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70C82"/>
    <w:rsid w:val="1B054919"/>
    <w:rsid w:val="389E6315"/>
    <w:rsid w:val="46A37BA8"/>
    <w:rsid w:val="48581A87"/>
    <w:rsid w:val="4A1B668D"/>
    <w:rsid w:val="4C141A89"/>
    <w:rsid w:val="4D4800B1"/>
    <w:rsid w:val="4F214D1F"/>
    <w:rsid w:val="4FD01CC8"/>
    <w:rsid w:val="50AC6291"/>
    <w:rsid w:val="52CD0741"/>
    <w:rsid w:val="57086C7B"/>
    <w:rsid w:val="5AEE5485"/>
    <w:rsid w:val="68A1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双双</cp:lastModifiedBy>
  <dcterms:modified xsi:type="dcterms:W3CDTF">2022-01-18T10:05:04Z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ECDC60437E154DBE8CEDC3E74234F6C8</vt:lpwstr>
  </property>
</Properties>
</file>