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ink/ink1.xml" ContentType="application/inkml+xml"/>
  <Override PartName="/word/ink/ink2.xml" ContentType="application/inkml+xml"/>
  <Override PartName="/word/ink/ink3.xml" ContentType="application/inkml+xml"/>
  <Override PartName="/word/ink/ink4.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jc w:val="center"/>
        <w:rPr>
          <w:rFonts w:hint="eastAsia"/>
          <w:sz w:val="44"/>
          <w:szCs w:val="44"/>
          <w:lang w:eastAsia="zh-CN"/>
        </w:rPr>
      </w:pPr>
      <w:r>
        <w:rPr>
          <w:rFonts w:hint="eastAsia"/>
          <w:sz w:val="44"/>
          <w:szCs w:val="44"/>
        </w:rPr>
        <w:t>试论：中国“碳达峰、碳中和”形势下徐州交通运输工具电气化替换紧迫性浅析</w:t>
      </w:r>
    </w:p>
    <w:p>
      <w:pPr>
        <w:rPr>
          <w:rFonts w:hint="eastAsia"/>
          <w:sz w:val="44"/>
          <w:szCs w:val="44"/>
          <w:lang w:eastAsia="zh-CN"/>
        </w:rPr>
      </w:pPr>
    </w:p>
    <w:p>
      <w:pPr>
        <w:rPr>
          <w:rFonts w:hint="eastAsia"/>
          <w:sz w:val="44"/>
          <w:szCs w:val="44"/>
          <w:lang w:eastAsia="zh-CN"/>
        </w:rPr>
      </w:pPr>
    </w:p>
    <w:p>
      <w:pPr>
        <w:pStyle w:val="2"/>
        <w:ind w:firstLine="2891" w:firstLineChars="400"/>
      </w:pPr>
      <w:r>
        <w:rPr>
          <w:rFonts w:hint="eastAsia"/>
          <w:sz w:val="72"/>
          <w:szCs w:val="72"/>
          <w:lang w:eastAsia="zh-CN"/>
        </w:rPr>
        <w:t>结</w:t>
      </w:r>
      <w:r>
        <w:rPr>
          <w:rFonts w:hint="eastAsia"/>
          <w:sz w:val="72"/>
          <w:szCs w:val="72"/>
        </w:rPr>
        <w:t>题报告</w:t>
      </w:r>
      <w:bookmarkStart w:id="0" w:name="_GoBack"/>
      <w:bookmarkEnd w:id="0"/>
    </w:p>
    <w:p>
      <w:pPr>
        <w:pStyle w:val="2"/>
      </w:pPr>
    </w:p>
    <w:p>
      <w:pPr>
        <w:pStyle w:val="2"/>
      </w:pPr>
    </w:p>
    <w:p>
      <w:pPr>
        <w:pStyle w:val="2"/>
        <w:rPr>
          <w:rFonts w:hint="eastAsia" w:eastAsiaTheme="majorEastAsia"/>
          <w:lang w:eastAsia="zh-CN"/>
        </w:rPr>
      </w:pPr>
    </w:p>
    <w:p>
      <w:pPr>
        <w:pStyle w:val="2"/>
      </w:pPr>
    </w:p>
    <w:p>
      <w:pPr>
        <w:rPr>
          <w:b/>
          <w:bCs/>
          <w:sz w:val="30"/>
          <w:szCs w:val="30"/>
        </w:rPr>
      </w:pPr>
    </w:p>
    <w:p>
      <w:pPr>
        <w:ind w:firstLine="1506" w:firstLineChars="500"/>
        <w:rPr>
          <w:rFonts w:hint="eastAsia" w:eastAsiaTheme="minorEastAsia"/>
          <w:b/>
          <w:bCs/>
          <w:sz w:val="30"/>
          <w:szCs w:val="30"/>
          <w:lang w:eastAsia="zh-CN"/>
        </w:rPr>
      </w:pPr>
      <w:r>
        <w:rPr>
          <w:rFonts w:hint="eastAsia"/>
          <w:b/>
          <w:bCs/>
          <w:sz w:val="30"/>
          <w:szCs w:val="30"/>
        </w:rPr>
        <w:t>主 持 人：</w:t>
      </w:r>
      <w:r>
        <w:rPr>
          <w:rFonts w:hint="eastAsia"/>
          <w:b/>
          <w:bCs/>
          <w:sz w:val="30"/>
          <w:szCs w:val="30"/>
          <w:lang w:eastAsia="zh-CN"/>
        </w:rPr>
        <w:t>王一宁</w:t>
      </w:r>
    </w:p>
    <w:p>
      <w:pPr>
        <w:ind w:left="2997" w:leftChars="710" w:hanging="1506" w:hangingChars="500"/>
        <w:rPr>
          <w:b/>
          <w:bCs/>
          <w:sz w:val="30"/>
          <w:szCs w:val="30"/>
        </w:rPr>
      </w:pPr>
      <w:r>
        <w:rPr>
          <w:rFonts w:hint="eastAsia"/>
          <w:b/>
          <w:bCs/>
          <w:sz w:val="30"/>
          <w:szCs w:val="30"/>
        </w:rPr>
        <w:t>小组成员：</w:t>
      </w:r>
      <w:r>
        <w:rPr>
          <w:rFonts w:hint="eastAsia"/>
          <w:b/>
          <w:bCs/>
          <w:sz w:val="30"/>
          <w:szCs w:val="30"/>
          <w:lang w:eastAsia="zh-CN"/>
        </w:rPr>
        <w:t>许宝螺 徐瑞琦 丁玺菲 秦书琪 张馨月 贾雯捷</w:t>
      </w:r>
    </w:p>
    <w:p>
      <w:pPr>
        <w:ind w:firstLine="1506" w:firstLineChars="500"/>
        <w:rPr>
          <w:rFonts w:hint="default" w:eastAsiaTheme="minorEastAsia"/>
          <w:b/>
          <w:bCs/>
          <w:sz w:val="30"/>
          <w:szCs w:val="30"/>
          <w:lang w:val="en-US" w:eastAsia="zh-CN"/>
        </w:rPr>
      </w:pPr>
      <w:r>
        <w:rPr>
          <w:rFonts w:hint="eastAsia"/>
          <w:b/>
          <w:bCs/>
          <w:sz w:val="30"/>
          <w:szCs w:val="30"/>
        </w:rPr>
        <w:t>指导老师：</w:t>
      </w:r>
      <w:r>
        <w:rPr>
          <w:rFonts w:hint="eastAsia"/>
          <w:b/>
          <w:bCs/>
          <w:sz w:val="30"/>
          <w:szCs w:val="30"/>
          <w:lang w:eastAsia="zh-CN"/>
        </w:rPr>
        <w:t>蔡兰英</w:t>
      </w:r>
      <w:r>
        <w:rPr>
          <w:rFonts w:hint="eastAsia"/>
          <w:b/>
          <w:bCs/>
          <w:sz w:val="30"/>
          <w:szCs w:val="30"/>
          <w:lang w:val="en-US" w:eastAsia="zh-CN"/>
        </w:rPr>
        <w:t xml:space="preserve"> 郭乐</w:t>
      </w:r>
    </w:p>
    <w:p>
      <w:pPr>
        <w:ind w:firstLine="1506" w:firstLineChars="500"/>
        <w:rPr>
          <w:rFonts w:hint="eastAsia"/>
          <w:lang w:eastAsia="zh-CN"/>
        </w:rPr>
      </w:pPr>
      <w:r>
        <w:rPr>
          <w:rFonts w:hint="eastAsia"/>
          <w:b/>
          <w:bCs/>
          <w:sz w:val="30"/>
          <w:szCs w:val="30"/>
        </w:rPr>
        <w:t>学    校：</w:t>
      </w:r>
      <w:r>
        <w:rPr>
          <w:rFonts w:hint="eastAsia"/>
          <w:b/>
          <w:bCs/>
          <w:sz w:val="30"/>
          <w:szCs w:val="30"/>
          <w:lang w:eastAsia="zh-CN"/>
        </w:rPr>
        <w:t>徐州市矿大实验学校</w:t>
      </w:r>
    </w:p>
    <w:p>
      <w:pPr>
        <w:jc w:val="center"/>
        <w:rPr>
          <w:rFonts w:hint="eastAsia" w:ascii="黑体" w:hAnsi="黑体" w:eastAsia="黑体" w:cs="黑体"/>
          <w:sz w:val="28"/>
          <w:szCs w:val="28"/>
          <w:lang w:eastAsia="zh-CN"/>
        </w:rPr>
      </w:pPr>
    </w:p>
    <w:p>
      <w:pPr>
        <w:jc w:val="center"/>
        <w:rPr>
          <w:rFonts w:hint="eastAsia" w:ascii="黑体" w:hAnsi="黑体" w:eastAsia="黑体" w:cs="黑体"/>
          <w:sz w:val="28"/>
          <w:szCs w:val="28"/>
          <w:lang w:eastAsia="zh-CN"/>
        </w:rPr>
      </w:pPr>
    </w:p>
    <w:p>
      <w:pPr>
        <w:rPr>
          <w:rFonts w:hint="eastAsia" w:ascii="黑体" w:hAnsi="黑体" w:eastAsia="黑体" w:cs="黑体"/>
          <w:sz w:val="28"/>
          <w:szCs w:val="28"/>
          <w:lang w:eastAsia="zh-CN"/>
        </w:rPr>
      </w:pPr>
      <w:r>
        <w:rPr>
          <w:rFonts w:hint="eastAsia" w:ascii="黑体" w:hAnsi="黑体" w:eastAsia="黑体" w:cs="黑体"/>
          <w:sz w:val="30"/>
          <w:szCs w:val="30"/>
          <w:lang w:eastAsia="zh-CN"/>
        </w:rPr>
        <w:t xml:space="preserve"> 目录</w:t>
      </w:r>
    </w:p>
    <w:p>
      <w:pPr>
        <w:numPr>
          <w:ilvl w:val="0"/>
          <w:numId w:val="1"/>
        </w:numPr>
        <w:rPr>
          <w:rFonts w:hint="eastAsia" w:ascii="黑体" w:hAnsi="黑体" w:eastAsia="黑体" w:cs="黑体"/>
          <w:sz w:val="28"/>
          <w:szCs w:val="28"/>
          <w:lang w:eastAsia="zh-CN"/>
        </w:rPr>
      </w:pPr>
      <w:r>
        <w:rPr>
          <w:rFonts w:hint="eastAsia" w:ascii="黑体" w:hAnsi="黑体" w:eastAsia="黑体" w:cs="黑体"/>
          <w:sz w:val="28"/>
          <w:szCs w:val="28"/>
          <w:lang w:eastAsia="zh-CN"/>
        </w:rPr>
        <w:t>课题组概况</w:t>
      </w:r>
    </w:p>
    <w:p>
      <w:pPr>
        <w:numPr>
          <w:ilvl w:val="0"/>
          <w:numId w:val="0"/>
        </w:numPr>
        <w:rPr>
          <w:rFonts w:hint="eastAsia" w:ascii="楷体" w:hAnsi="楷体" w:eastAsia="楷体" w:cs="楷体"/>
          <w:sz w:val="24"/>
          <w:szCs w:val="24"/>
          <w:lang w:eastAsia="zh-CN"/>
        </w:rPr>
      </w:pPr>
      <w:r>
        <w:rPr>
          <w:rFonts w:hint="eastAsia" w:ascii="黑体" w:hAnsi="黑体" w:eastAsia="黑体" w:cs="黑体"/>
          <w:sz w:val="28"/>
          <w:szCs w:val="28"/>
          <w:lang w:eastAsia="zh-CN"/>
        </w:rPr>
        <w:t>2. 徐州概况和煤电基地说明</w:t>
      </w:r>
    </w:p>
    <w:p>
      <w:pPr>
        <w:numPr>
          <w:ilvl w:val="0"/>
          <w:numId w:val="0"/>
        </w:numPr>
        <w:rPr>
          <w:rFonts w:hint="eastAsia" w:ascii="黑体" w:hAnsi="黑体" w:eastAsia="黑体" w:cs="黑体"/>
          <w:sz w:val="28"/>
          <w:szCs w:val="28"/>
          <w:lang w:eastAsia="zh-CN"/>
        </w:rPr>
      </w:pPr>
      <w:r>
        <w:rPr>
          <w:rFonts w:hint="eastAsia" w:ascii="黑体" w:hAnsi="黑体" w:eastAsia="黑体" w:cs="黑体"/>
          <w:sz w:val="28"/>
          <w:szCs w:val="28"/>
          <w:lang w:eastAsia="zh-CN"/>
        </w:rPr>
        <w:t>3. 双碳形势下徐州达标的选择分析</w:t>
      </w:r>
    </w:p>
    <w:p>
      <w:pPr>
        <w:numPr>
          <w:ilvl w:val="0"/>
          <w:numId w:val="0"/>
        </w:numPr>
        <w:rPr>
          <w:rFonts w:hint="eastAsia" w:ascii="楷体" w:hAnsi="楷体" w:eastAsia="楷体" w:cs="楷体"/>
          <w:sz w:val="28"/>
          <w:szCs w:val="28"/>
          <w:lang w:eastAsia="zh-CN"/>
        </w:rPr>
      </w:pPr>
      <w:r>
        <w:rPr>
          <w:rFonts w:hint="eastAsia" w:ascii="楷体" w:hAnsi="楷体" w:eastAsia="楷体" w:cs="楷体"/>
          <w:sz w:val="28"/>
          <w:szCs w:val="28"/>
          <w:lang w:eastAsia="zh-CN"/>
        </w:rPr>
        <w:t>（1）数据分析</w:t>
      </w:r>
    </w:p>
    <w:p>
      <w:pPr>
        <w:numPr>
          <w:ilvl w:val="0"/>
          <w:numId w:val="0"/>
        </w:numPr>
        <w:rPr>
          <w:rFonts w:hint="eastAsia" w:ascii="楷体" w:hAnsi="楷体" w:eastAsia="楷体" w:cs="楷体"/>
          <w:sz w:val="28"/>
          <w:szCs w:val="28"/>
          <w:lang w:eastAsia="zh-CN"/>
        </w:rPr>
      </w:pPr>
      <w:r>
        <w:rPr>
          <w:rFonts w:hint="eastAsia" w:ascii="楷体" w:hAnsi="楷体" w:eastAsia="楷体" w:cs="楷体"/>
          <w:sz w:val="28"/>
          <w:szCs w:val="28"/>
          <w:lang w:eastAsia="zh-CN"/>
        </w:rPr>
        <w:t>（2）原有火力发电不可替代性（差异比较）</w:t>
      </w:r>
    </w:p>
    <w:p>
      <w:pPr>
        <w:numPr>
          <w:ilvl w:val="0"/>
          <w:numId w:val="0"/>
        </w:numPr>
        <w:rPr>
          <w:rFonts w:hint="eastAsia" w:ascii="黑体" w:hAnsi="黑体" w:eastAsia="黑体" w:cs="黑体"/>
          <w:sz w:val="28"/>
          <w:szCs w:val="28"/>
          <w:lang w:eastAsia="zh-CN"/>
        </w:rPr>
      </w:pPr>
      <w:r>
        <w:rPr>
          <w:rFonts w:hint="eastAsia" w:ascii="黑体" w:hAnsi="黑体" w:eastAsia="黑体" w:cs="黑体"/>
          <w:sz w:val="28"/>
          <w:szCs w:val="28"/>
          <w:lang w:eastAsia="zh-CN"/>
        </w:rPr>
        <w:t>4. 交通运输工具电气化替换趋势分析</w:t>
      </w:r>
    </w:p>
    <w:p>
      <w:pPr>
        <w:numPr>
          <w:ilvl w:val="0"/>
          <w:numId w:val="0"/>
        </w:numPr>
        <w:rPr>
          <w:rFonts w:hint="eastAsia" w:ascii="黑体" w:hAnsi="黑体" w:eastAsia="黑体" w:cs="黑体"/>
          <w:sz w:val="28"/>
          <w:szCs w:val="28"/>
          <w:lang w:eastAsia="zh-CN"/>
        </w:rPr>
      </w:pPr>
      <w:r>
        <w:rPr>
          <w:rFonts w:hint="eastAsia" w:ascii="黑体" w:hAnsi="黑体" w:eastAsia="黑体" w:cs="黑体"/>
          <w:sz w:val="28"/>
          <w:szCs w:val="28"/>
          <w:lang w:eastAsia="zh-CN"/>
        </w:rPr>
        <w:t>5. 国家层面-技术差异化竞争优势</w:t>
      </w:r>
    </w:p>
    <w:p>
      <w:pPr>
        <w:numPr>
          <w:ilvl w:val="0"/>
          <w:numId w:val="0"/>
        </w:numPr>
        <w:rPr>
          <w:rFonts w:hint="eastAsia" w:ascii="黑体" w:hAnsi="黑体" w:eastAsia="黑体" w:cs="黑体"/>
          <w:sz w:val="28"/>
          <w:szCs w:val="28"/>
          <w:lang w:eastAsia="zh-CN"/>
        </w:rPr>
      </w:pPr>
      <w:r>
        <w:rPr>
          <w:rFonts w:hint="eastAsia" w:ascii="黑体" w:hAnsi="黑体" w:eastAsia="黑体" w:cs="黑体"/>
          <w:sz w:val="28"/>
          <w:szCs w:val="28"/>
          <w:lang w:eastAsia="zh-CN"/>
        </w:rPr>
        <w:t>6. 徐州起引领作用必要性和重要性</w:t>
      </w:r>
    </w:p>
    <w:p>
      <w:pPr>
        <w:numPr>
          <w:ilvl w:val="0"/>
          <w:numId w:val="0"/>
        </w:numPr>
        <w:rPr>
          <w:rFonts w:hint="eastAsia" w:ascii="黑体" w:hAnsi="黑体" w:eastAsia="黑体" w:cs="黑体"/>
          <w:sz w:val="28"/>
          <w:szCs w:val="28"/>
          <w:lang w:eastAsia="zh-CN"/>
        </w:rPr>
      </w:pPr>
      <w:r>
        <w:rPr>
          <w:rFonts w:hint="eastAsia" w:ascii="黑体" w:hAnsi="黑体" w:eastAsia="黑体" w:cs="黑体"/>
          <w:sz w:val="28"/>
          <w:szCs w:val="28"/>
          <w:lang w:eastAsia="zh-CN"/>
        </w:rPr>
        <w:t>7. 提前预设必要性和方案提供</w:t>
      </w:r>
    </w:p>
    <w:p>
      <w:pPr>
        <w:numPr>
          <w:ilvl w:val="0"/>
          <w:numId w:val="0"/>
        </w:numPr>
        <w:rPr>
          <w:rFonts w:hint="eastAsia" w:ascii="黑体" w:hAnsi="黑体" w:eastAsia="黑体" w:cs="黑体"/>
          <w:sz w:val="28"/>
          <w:szCs w:val="28"/>
          <w:lang w:eastAsia="zh-CN"/>
        </w:rPr>
      </w:pPr>
      <w:r>
        <w:rPr>
          <w:rFonts w:hint="eastAsia" w:ascii="黑体" w:hAnsi="黑体" w:eastAsia="黑体" w:cs="黑体"/>
          <w:sz w:val="28"/>
          <w:szCs w:val="28"/>
          <w:lang w:eastAsia="zh-CN"/>
        </w:rPr>
        <w:t>8. 新能源项目带来经济效益</w:t>
      </w:r>
    </w:p>
    <w:p>
      <w:pPr>
        <w:numPr>
          <w:ilvl w:val="0"/>
          <w:numId w:val="0"/>
        </w:numPr>
        <w:rPr>
          <w:rFonts w:hint="eastAsia" w:ascii="楷体" w:hAnsi="楷体" w:eastAsia="楷体" w:cs="楷体"/>
          <w:sz w:val="28"/>
          <w:szCs w:val="28"/>
          <w:lang w:eastAsia="zh-CN"/>
        </w:rPr>
      </w:pPr>
      <w:r>
        <w:rPr>
          <w:rFonts w:hint="eastAsia" w:ascii="楷体" w:hAnsi="楷体" w:eastAsia="楷体" w:cs="楷体"/>
          <w:sz w:val="28"/>
          <w:szCs w:val="28"/>
          <w:lang w:eastAsia="zh-CN"/>
        </w:rPr>
        <w:t>（1）新能源汽车项目投资利润</w:t>
      </w:r>
    </w:p>
    <w:p>
      <w:pPr>
        <w:numPr>
          <w:ilvl w:val="0"/>
          <w:numId w:val="0"/>
        </w:numPr>
        <w:rPr>
          <w:rFonts w:hint="eastAsia" w:ascii="楷体" w:hAnsi="楷体" w:eastAsia="楷体" w:cs="楷体"/>
          <w:sz w:val="28"/>
          <w:szCs w:val="28"/>
          <w:lang w:eastAsia="zh-CN"/>
        </w:rPr>
      </w:pPr>
      <w:r>
        <w:rPr>
          <w:rFonts w:hint="eastAsia" w:ascii="楷体" w:hAnsi="楷体" w:eastAsia="楷体" w:cs="楷体"/>
          <w:sz w:val="28"/>
          <w:szCs w:val="28"/>
          <w:lang w:eastAsia="zh-CN"/>
        </w:rPr>
        <w:t>（2）充电桩投资利润</w:t>
      </w:r>
    </w:p>
    <w:p>
      <w:pPr>
        <w:numPr>
          <w:ilvl w:val="0"/>
          <w:numId w:val="0"/>
        </w:numPr>
        <w:rPr>
          <w:rFonts w:hint="eastAsia" w:ascii="黑体" w:hAnsi="黑体" w:eastAsia="黑体" w:cs="黑体"/>
          <w:sz w:val="28"/>
          <w:szCs w:val="28"/>
          <w:lang w:eastAsia="zh-CN"/>
        </w:rPr>
      </w:pPr>
      <w:r>
        <w:rPr>
          <w:rFonts w:hint="eastAsia" w:ascii="黑体" w:hAnsi="黑体" w:eastAsia="黑体" w:cs="黑体"/>
          <w:sz w:val="28"/>
          <w:szCs w:val="28"/>
          <w:lang w:eastAsia="zh-CN"/>
        </w:rPr>
        <w:t>9. 总结</w:t>
      </w:r>
    </w:p>
    <w:p>
      <w:pPr>
        <w:numPr>
          <w:ilvl w:val="0"/>
          <w:numId w:val="0"/>
        </w:numPr>
        <w:rPr>
          <w:rFonts w:hint="eastAsia" w:ascii="黑体" w:hAnsi="黑体" w:eastAsia="黑体" w:cs="黑体"/>
          <w:sz w:val="28"/>
          <w:szCs w:val="28"/>
          <w:lang w:eastAsia="zh-CN"/>
        </w:rPr>
      </w:pPr>
    </w:p>
    <w:p>
      <w:pPr>
        <w:numPr>
          <w:ilvl w:val="0"/>
          <w:numId w:val="0"/>
        </w:numPr>
        <w:rPr>
          <w:rFonts w:hint="eastAsia" w:ascii="黑体" w:hAnsi="黑体" w:eastAsia="黑体" w:cs="黑体"/>
          <w:sz w:val="28"/>
          <w:szCs w:val="28"/>
          <w:lang w:eastAsia="zh-CN"/>
        </w:rPr>
      </w:pPr>
    </w:p>
    <w:p>
      <w:pPr>
        <w:numPr>
          <w:ilvl w:val="0"/>
          <w:numId w:val="0"/>
        </w:numPr>
        <w:rPr>
          <w:rFonts w:hint="eastAsia" w:ascii="黑体" w:hAnsi="黑体" w:eastAsia="黑体" w:cs="黑体"/>
          <w:sz w:val="28"/>
          <w:szCs w:val="28"/>
          <w:lang w:eastAsia="zh-CN"/>
        </w:rPr>
      </w:pPr>
    </w:p>
    <w:p>
      <w:pPr>
        <w:numPr>
          <w:ilvl w:val="0"/>
          <w:numId w:val="2"/>
        </w:numPr>
        <w:rPr>
          <w:rFonts w:hint="eastAsia" w:ascii="黑体" w:hAnsi="黑体" w:eastAsia="黑体" w:cs="黑体"/>
          <w:sz w:val="32"/>
          <w:szCs w:val="32"/>
          <w:lang w:eastAsia="zh-CN"/>
        </w:rPr>
      </w:pPr>
      <w:r>
        <w:rPr>
          <w:rFonts w:hint="eastAsia" w:ascii="黑体" w:hAnsi="黑体" w:eastAsia="黑体" w:cs="黑体"/>
          <w:sz w:val="32"/>
          <w:szCs w:val="32"/>
          <w:lang w:eastAsia="zh-CN"/>
        </w:rPr>
        <w:t>课题组概况</w:t>
      </w:r>
    </w:p>
    <w:p>
      <w:pPr>
        <w:numPr>
          <w:ilvl w:val="0"/>
          <w:numId w:val="0"/>
        </w:numPr>
        <w:spacing w:line="480" w:lineRule="exact"/>
        <w:rPr>
          <w:rFonts w:hint="eastAsia" w:ascii="楷体" w:hAnsi="楷体" w:eastAsia="楷体" w:cs="楷体"/>
          <w:sz w:val="28"/>
          <w:szCs w:val="28"/>
          <w:lang w:eastAsia="zh-CN"/>
        </w:rPr>
      </w:pPr>
      <w:r>
        <w:rPr>
          <w:rFonts w:hint="eastAsia" w:ascii="楷体" w:hAnsi="楷体" w:eastAsia="楷体" w:cs="楷体"/>
          <w:sz w:val="28"/>
          <w:szCs w:val="28"/>
          <w:lang w:eastAsia="zh-CN"/>
        </w:rPr>
        <w:t>（1）课题组名称：中国“碳达峰、碳中和”形势下徐州交通运输工具电气化替换紧迫性浅析</w:t>
      </w:r>
    </w:p>
    <w:p>
      <w:pPr>
        <w:numPr>
          <w:ilvl w:val="0"/>
          <w:numId w:val="0"/>
        </w:numPr>
        <w:spacing w:line="480" w:lineRule="exact"/>
        <w:rPr>
          <w:rFonts w:hint="eastAsia" w:ascii="楷体" w:hAnsi="楷体" w:eastAsia="楷体" w:cs="楷体"/>
          <w:sz w:val="28"/>
          <w:szCs w:val="28"/>
          <w:lang w:eastAsia="zh-CN"/>
        </w:rPr>
      </w:pPr>
      <w:r>
        <w:rPr>
          <w:rFonts w:hint="eastAsia" w:ascii="楷体" w:hAnsi="楷体" w:eastAsia="楷体" w:cs="楷体"/>
          <w:sz w:val="28"/>
          <w:szCs w:val="28"/>
          <w:lang w:eastAsia="zh-CN"/>
        </w:rPr>
        <w:t>（2）学校：中国矿业大学附属中学 徐州市矿大实验学校</w:t>
      </w:r>
    </w:p>
    <w:p>
      <w:pPr>
        <w:numPr>
          <w:ilvl w:val="0"/>
          <w:numId w:val="0"/>
        </w:numPr>
        <w:spacing w:line="480" w:lineRule="exact"/>
        <w:rPr>
          <w:rFonts w:hint="eastAsia" w:ascii="楷体" w:hAnsi="楷体" w:eastAsia="楷体" w:cs="楷体"/>
          <w:sz w:val="28"/>
          <w:szCs w:val="28"/>
          <w:lang w:eastAsia="zh-CN"/>
        </w:rPr>
      </w:pPr>
      <w:r>
        <w:rPr>
          <w:rFonts w:hint="eastAsia" w:ascii="楷体" w:hAnsi="楷体" w:eastAsia="楷体" w:cs="楷体"/>
          <w:sz w:val="28"/>
          <w:szCs w:val="28"/>
          <w:lang w:eastAsia="zh-CN"/>
        </w:rPr>
        <w:t>（3）研究时间：2022年8月上旬 至 2022年9月下旬</w:t>
      </w:r>
    </w:p>
    <w:p>
      <w:pPr>
        <w:numPr>
          <w:ilvl w:val="0"/>
          <w:numId w:val="0"/>
        </w:numPr>
        <w:spacing w:line="480" w:lineRule="exact"/>
        <w:rPr>
          <w:rFonts w:hint="eastAsia" w:ascii="楷体" w:hAnsi="楷体" w:eastAsia="楷体" w:cs="楷体"/>
          <w:sz w:val="28"/>
          <w:szCs w:val="28"/>
          <w:lang w:eastAsia="zh-CN"/>
        </w:rPr>
      </w:pPr>
      <w:r>
        <w:rPr>
          <w:rFonts w:hint="eastAsia" w:ascii="楷体" w:hAnsi="楷体" w:eastAsia="楷体" w:cs="楷体"/>
          <w:sz w:val="28"/>
          <w:szCs w:val="28"/>
          <w:lang w:eastAsia="zh-CN"/>
        </w:rPr>
        <w:t>（4）班级：高二（5）班</w:t>
      </w:r>
    </w:p>
    <w:p>
      <w:pPr>
        <w:numPr>
          <w:ilvl w:val="0"/>
          <w:numId w:val="0"/>
        </w:numPr>
        <w:spacing w:line="480" w:lineRule="exact"/>
        <w:rPr>
          <w:rFonts w:hint="eastAsia" w:ascii="楷体" w:hAnsi="楷体" w:eastAsia="楷体" w:cs="楷体"/>
          <w:sz w:val="28"/>
          <w:szCs w:val="28"/>
          <w:lang w:eastAsia="zh-CN"/>
        </w:rPr>
      </w:pPr>
      <w:r>
        <w:rPr>
          <w:rFonts w:hint="eastAsia" w:ascii="楷体" w:hAnsi="楷体" w:eastAsia="楷体" w:cs="楷体"/>
          <w:sz w:val="28"/>
          <w:szCs w:val="28"/>
          <w:lang w:eastAsia="zh-CN"/>
        </w:rPr>
        <w:t>（5）主持人：王一宁</w:t>
      </w:r>
    </w:p>
    <w:p>
      <w:pPr>
        <w:numPr>
          <w:ilvl w:val="0"/>
          <w:numId w:val="0"/>
        </w:numPr>
        <w:snapToGrid/>
        <w:spacing w:line="480" w:lineRule="exact"/>
        <w:rPr>
          <w:rFonts w:hint="eastAsia" w:ascii="楷体" w:hAnsi="楷体" w:eastAsia="楷体" w:cs="楷体"/>
          <w:sz w:val="28"/>
          <w:szCs w:val="28"/>
          <w:u w:val="none"/>
          <w:vertAlign w:val="baseline"/>
          <w:lang w:eastAsia="zh-CN"/>
        </w:rPr>
      </w:pPr>
      <w:r>
        <w:rPr>
          <w:rFonts w:hint="eastAsia" w:ascii="楷体" w:hAnsi="楷体" w:eastAsia="楷体" w:cs="楷体"/>
          <w:sz w:val="28"/>
          <w:szCs w:val="28"/>
          <w:lang w:eastAsia="zh-CN"/>
        </w:rPr>
        <w:t>（6）课题组成员：</w:t>
      </w:r>
      <w:r>
        <w:rPr>
          <w:rFonts w:hint="eastAsia" w:ascii="楷体" w:hAnsi="楷体" w:eastAsia="楷体" w:cs="楷体"/>
          <w:sz w:val="28"/>
          <w:szCs w:val="28"/>
          <w:u w:val="none"/>
          <w:vertAlign w:val="baseline"/>
          <w:lang w:eastAsia="zh-CN"/>
        </w:rPr>
        <w:t>许宝螺 徐瑞琦 丁玺菲 秦书琪 张馨月 贾雯捷</w:t>
      </w:r>
    </w:p>
    <w:p>
      <w:pPr>
        <w:numPr>
          <w:ilvl w:val="0"/>
          <w:numId w:val="0"/>
        </w:numPr>
        <w:snapToGrid/>
        <w:spacing w:line="480" w:lineRule="exact"/>
        <w:rPr>
          <w:rFonts w:hint="eastAsia" w:ascii="楷体" w:hAnsi="楷体" w:eastAsia="楷体" w:cs="楷体"/>
          <w:sz w:val="28"/>
          <w:szCs w:val="28"/>
          <w:u w:val="none"/>
          <w:vertAlign w:val="baseline"/>
          <w:lang w:eastAsia="zh-CN"/>
        </w:rPr>
      </w:pPr>
      <w:r>
        <w:rPr>
          <w:rFonts w:hint="eastAsia" w:ascii="楷体" w:hAnsi="楷体" w:eastAsia="楷体" w:cs="楷体"/>
          <w:sz w:val="28"/>
          <w:szCs w:val="28"/>
          <w:u w:val="none"/>
          <w:vertAlign w:val="baseline"/>
          <w:lang w:eastAsia="zh-CN"/>
        </w:rPr>
        <w:t>（7）指导老师：蔡兰英 郭乐</w:t>
      </w:r>
    </w:p>
    <w:p>
      <w:pPr>
        <w:numPr>
          <w:ilvl w:val="0"/>
          <w:numId w:val="0"/>
        </w:numPr>
        <w:rPr>
          <w:rFonts w:hint="eastAsia" w:ascii="楷体" w:hAnsi="楷体" w:eastAsia="楷体" w:cs="楷体"/>
          <w:sz w:val="28"/>
          <w:szCs w:val="28"/>
          <w:lang w:eastAsia="zh-CN"/>
        </w:rPr>
      </w:pPr>
    </w:p>
    <w:p>
      <w:pPr>
        <w:numPr>
          <w:ilvl w:val="0"/>
          <w:numId w:val="2"/>
        </w:numPr>
        <w:rPr>
          <w:rFonts w:hint="eastAsia" w:ascii="黑体" w:hAnsi="黑体" w:eastAsia="黑体" w:cs="黑体"/>
          <w:sz w:val="32"/>
          <w:szCs w:val="32"/>
          <w:lang w:eastAsia="zh-CN"/>
        </w:rPr>
      </w:pPr>
      <w:r>
        <w:rPr>
          <w:rFonts w:hint="eastAsia" w:ascii="黑体" w:hAnsi="黑体" w:eastAsia="黑体" w:cs="黑体"/>
          <w:sz w:val="32"/>
          <w:szCs w:val="32"/>
          <w:lang w:eastAsia="zh-CN"/>
        </w:rPr>
        <w:t>徐州概况和煤电基地说明</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lang w:eastAsia="zh-CN"/>
        </w:rPr>
        <w:t xml:space="preserve">    徐州地处华北平原东南部，江苏省西北部，总面积约11258平方千米。徐州是历史上的老牌工业城市，是省内唯一的煤炭生产基地，是典型的资源型城市，产业转型升级压力较大，①</w:t>
      </w:r>
      <w:r>
        <w:rPr>
          <w:rFonts w:hint="eastAsia" w:ascii="楷体" w:hAnsi="楷体" w:eastAsia="楷体" w:cs="楷体"/>
          <w:sz w:val="28"/>
          <w:szCs w:val="28"/>
          <w:u w:val="single"/>
          <w:lang w:eastAsia="zh-CN"/>
        </w:rPr>
        <w:t>截至2019年底，全市共有钢铁企业18家，焦化企业11家，水泥企业62家，燃煤电厂24家，这些重污染企业位于城市北部，曾是城市污染物主要来源。</w:t>
      </w:r>
    </w:p>
    <w:p>
      <w:pPr>
        <w:numPr>
          <w:ilvl w:val="0"/>
          <w:numId w:val="0"/>
        </w:numPr>
        <w:rPr>
          <w:rFonts w:hint="eastAsia" w:ascii="楷体" w:hAnsi="楷体" w:eastAsia="楷体" w:cs="楷体"/>
          <w:sz w:val="28"/>
          <w:szCs w:val="28"/>
          <w:u w:val="single"/>
          <w:lang w:eastAsia="zh-CN"/>
        </w:rPr>
      </w:pPr>
      <w:r>
        <w:rPr>
          <w:rFonts w:hint="eastAsia" w:ascii="楷体" w:hAnsi="楷体" w:eastAsia="楷体" w:cs="楷体"/>
          <w:sz w:val="28"/>
          <w:szCs w:val="28"/>
          <w:u w:val="none"/>
          <w:lang w:eastAsia="zh-CN"/>
        </w:rPr>
        <w:t xml:space="preserve">    徐州作为煤炭资源型城市，已有126年的煤炭开发历史，是全国基础能源供应基地之一。从70年代初期开始，长期超强度开采，建国50多年来，徐州累计开采原煤7.34亿吨，累计上交税收70.2亿元。2004年以来，徐州所产煤炭很大一部分供给省内骨干电厂。</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由此可得，徐州确为责任重大的煤电基地。</w:t>
      </w:r>
    </w:p>
    <w:p>
      <w:pPr>
        <w:numPr>
          <w:ilvl w:val="0"/>
          <w:numId w:val="0"/>
        </w:numPr>
        <w:rPr>
          <w:rFonts w:hint="eastAsia" w:ascii="黑体" w:hAnsi="黑体" w:eastAsia="黑体" w:cs="黑体"/>
          <w:sz w:val="32"/>
          <w:szCs w:val="32"/>
          <w:u w:val="none"/>
          <w:lang w:eastAsia="zh-CN"/>
        </w:rPr>
      </w:pPr>
      <w:r>
        <w:rPr>
          <w:rFonts w:hint="eastAsia" w:ascii="黑体" w:hAnsi="黑体" w:eastAsia="黑体" w:cs="黑体"/>
          <w:sz w:val="32"/>
          <w:szCs w:val="32"/>
          <w:u w:val="none"/>
          <w:lang w:eastAsia="zh-CN"/>
        </w:rPr>
        <w:t xml:space="preserve"> </w:t>
      </w:r>
    </w:p>
    <w:p>
      <w:pPr>
        <w:numPr>
          <w:ilvl w:val="0"/>
          <w:numId w:val="0"/>
        </w:numPr>
        <w:rPr>
          <w:rFonts w:hint="eastAsia" w:ascii="黑体" w:hAnsi="黑体" w:eastAsia="黑体" w:cs="黑体"/>
          <w:sz w:val="32"/>
          <w:szCs w:val="32"/>
          <w:u w:val="none"/>
          <w:lang w:eastAsia="zh-CN"/>
        </w:rPr>
      </w:pPr>
    </w:p>
    <w:p>
      <w:pPr>
        <w:numPr>
          <w:ilvl w:val="0"/>
          <w:numId w:val="0"/>
        </w:numPr>
        <w:rPr>
          <w:rFonts w:hint="eastAsia" w:ascii="黑体" w:hAnsi="黑体" w:eastAsia="黑体" w:cs="黑体"/>
          <w:sz w:val="32"/>
          <w:szCs w:val="32"/>
          <w:u w:val="none"/>
          <w:lang w:eastAsia="zh-CN"/>
        </w:rPr>
      </w:pPr>
    </w:p>
    <w:p>
      <w:pPr>
        <w:numPr>
          <w:ilvl w:val="0"/>
          <w:numId w:val="2"/>
        </w:numPr>
        <w:rPr>
          <w:rFonts w:hint="eastAsia" w:ascii="黑体" w:hAnsi="黑体" w:eastAsia="黑体" w:cs="黑体"/>
          <w:sz w:val="32"/>
          <w:szCs w:val="32"/>
          <w:u w:val="none"/>
          <w:lang w:eastAsia="zh-CN"/>
        </w:rPr>
      </w:pPr>
      <w:r>
        <w:rPr>
          <w:rFonts w:hint="eastAsia" w:ascii="黑体" w:hAnsi="黑体" w:eastAsia="黑体" w:cs="黑体"/>
          <w:sz w:val="32"/>
          <w:szCs w:val="32"/>
          <w:u w:val="none"/>
          <w:lang w:eastAsia="zh-CN"/>
        </w:rPr>
        <w:t>双碳形势下徐州达标的选择分析</w:t>
      </w:r>
    </w:p>
    <w:p>
      <w:pPr>
        <w:numPr>
          <w:ilvl w:val="0"/>
          <w:numId w:val="3"/>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数据分析</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drawing>
          <wp:inline distT="0" distB="0" distL="114300" distR="114300">
            <wp:extent cx="3724275" cy="2806065"/>
            <wp:effectExtent l="0" t="0" r="5715" b="1905"/>
            <wp:docPr id="1" name="图片 1" descr="2022-08-28 00:28:14.793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2-08-28 00:28:14.793000"/>
                    <pic:cNvPicPr>
                      <a:picLocks noChangeAspect="1"/>
                    </pic:cNvPicPr>
                  </pic:nvPicPr>
                  <pic:blipFill>
                    <a:blip r:embed="rId4"/>
                    <a:stretch>
                      <a:fillRect/>
                    </a:stretch>
                  </pic:blipFill>
                  <pic:spPr>
                    <a:xfrm>
                      <a:off x="0" y="0"/>
                      <a:ext cx="3724275" cy="2806065"/>
                    </a:xfrm>
                    <a:prstGeom prst="rect">
                      <a:avLst/>
                    </a:prstGeom>
                  </pic:spPr>
                </pic:pic>
              </a:graphicData>
            </a:graphic>
          </wp:inline>
        </w:drawing>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图3-1.1 我国各发电类型占比</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drawing>
          <wp:inline distT="0" distB="0" distL="114300" distR="114300">
            <wp:extent cx="5610225" cy="3717925"/>
            <wp:effectExtent l="0" t="0" r="5715" b="5080"/>
            <wp:docPr id="2" name="图片 2" descr="2022-08-28 00:34:10.637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2-08-28 00:34:10.637000"/>
                    <pic:cNvPicPr>
                      <a:picLocks noChangeAspect="1"/>
                    </pic:cNvPicPr>
                  </pic:nvPicPr>
                  <pic:blipFill>
                    <a:blip r:embed="rId5"/>
                    <a:stretch>
                      <a:fillRect/>
                    </a:stretch>
                  </pic:blipFill>
                  <pic:spPr>
                    <a:xfrm>
                      <a:off x="0" y="0"/>
                      <a:ext cx="5610225" cy="3717925"/>
                    </a:xfrm>
                    <a:prstGeom prst="rect">
                      <a:avLst/>
                    </a:prstGeom>
                  </pic:spPr>
                </pic:pic>
              </a:graphicData>
            </a:graphic>
          </wp:inline>
        </w:drawing>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图3-1.2</w:t>
      </w:r>
    </w:p>
    <w:p>
      <w:pPr>
        <w:numPr>
          <w:ilvl w:val="0"/>
          <w:numId w:val="0"/>
        </w:numPr>
        <w:rPr>
          <w:rFonts w:hint="eastAsia" w:ascii="楷体" w:hAnsi="楷体" w:eastAsia="楷体" w:cs="楷体"/>
          <w:sz w:val="28"/>
          <w:szCs w:val="28"/>
          <w:u w:val="none"/>
          <w:lang w:eastAsia="zh-CN"/>
        </w:rPr>
      </w:pPr>
    </w:p>
    <w:p>
      <w:pPr>
        <w:numPr>
          <w:ilvl w:val="0"/>
          <w:numId w:val="0"/>
        </w:numPr>
        <w:rPr>
          <w:rFonts w:hint="eastAsia"/>
          <w:lang w:eastAsia="zh-CN"/>
        </w:rPr>
      </w:pPr>
      <w:r>
        <w:rPr>
          <w:rFonts w:hint="eastAsia"/>
          <w:lang w:eastAsia="zh-CN"/>
        </w:rPr>
        <w:t xml:space="preserve">        </w:t>
      </w:r>
    </w:p>
    <w:p>
      <w:pPr>
        <w:numPr>
          <w:ilvl w:val="0"/>
          <w:numId w:val="0"/>
        </w:numPr>
        <w:rPr>
          <w:rFonts w:hint="eastAsia"/>
          <w:lang w:eastAsia="zh-CN"/>
        </w:rPr>
      </w:pPr>
    </w:p>
    <w:p>
      <w:pPr>
        <w:numPr>
          <w:ilvl w:val="0"/>
          <w:numId w:val="0"/>
        </w:numPr>
        <w:rPr>
          <w:rFonts w:hint="eastAsia"/>
          <w:strike w:val="0"/>
          <w:highlight w:val="none"/>
          <w:u w:val="none"/>
          <w:lang w:eastAsia="zh-CN"/>
        </w:rPr>
      </w:pPr>
      <w:r>
        <mc:AlternateContent>
          <mc:Choice Requires="wps">
            <w:drawing>
              <wp:anchor distT="0" distB="0" distL="114300" distR="114300" simplePos="0" relativeHeight="251660288" behindDoc="0" locked="0" layoutInCell="1" allowOverlap="1">
                <wp:simplePos x="0" y="0"/>
                <wp:positionH relativeFrom="column">
                  <wp:posOffset>350520</wp:posOffset>
                </wp:positionH>
                <wp:positionV relativeFrom="paragraph">
                  <wp:posOffset>2974340</wp:posOffset>
                </wp:positionV>
                <wp:extent cx="426720" cy="11430"/>
                <wp:effectExtent l="75565" t="75565" r="77470" b="80645"/>
                <wp:wrapNone/>
                <wp:docPr id="13" name="墨迹 13"/>
                <wp:cNvGraphicFramePr/>
                <a:graphic xmlns:a="http://schemas.openxmlformats.org/drawingml/2006/main">
                  <a:graphicData uri="http://schemas.microsoft.com/office/word/2010/wordprocessingInk">
                    <mc:AlternateContent xmlns:a14="http://schemas.microsoft.com/office/drawing/2010/main">
                      <mc:Choice Requires="a14">
                        <w14:contentPart bwMode="clr" r:id="rId6">
                          <w14:nvContentPartPr>
                            <w14:cNvPr id="13" name="墨迹 13"/>
                            <w14:cNvContentPartPr/>
                          </w14:nvContentPartPr>
                          <w14:xfrm>
                            <a:off x="1493520" y="4284980"/>
                            <a:ext cx="426720" cy="11430"/>
                          </w14:xfrm>
                        </w14:contentPart>
                      </mc:Choice>
                    </mc:AlternateContent>
                  </a:graphicData>
                </a:graphic>
              </wp:anchor>
            </w:drawing>
          </mc:Choice>
          <mc:Fallback>
            <w:pict>
              <v:shape id="_x0000_s1026" o:spid="_x0000_s1026" o:spt="75" style="position:absolute;left:0pt;margin-left:27.6pt;margin-top:234.2pt;height:0.9pt;width:33.6pt;z-index:251660288;mso-width-relative:page;mso-height-relative:page;" coordsize="21600,21600" o:gfxdata="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">
                <v:imagedata r:id="rId7" o:title=""/>
                <o:lock v:ext="edit"/>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1491615</wp:posOffset>
                </wp:positionH>
                <wp:positionV relativeFrom="paragraph">
                  <wp:posOffset>2971800</wp:posOffset>
                </wp:positionV>
                <wp:extent cx="307340" cy="4445"/>
                <wp:effectExtent l="75565" t="75565" r="78105" b="80645"/>
                <wp:wrapNone/>
                <wp:docPr id="14" name="墨迹 14"/>
                <wp:cNvGraphicFramePr/>
                <a:graphic xmlns:a="http://schemas.openxmlformats.org/drawingml/2006/main">
                  <a:graphicData uri="http://schemas.microsoft.com/office/word/2010/wordprocessingInk">
                    <mc:AlternateContent xmlns:a14="http://schemas.microsoft.com/office/drawing/2010/main">
                      <mc:Choice Requires="a14">
                        <w14:contentPart bwMode="clr" r:id="rId8">
                          <w14:nvContentPartPr>
                            <w14:cNvPr id="14" name="墨迹 14"/>
                            <w14:cNvContentPartPr/>
                          </w14:nvContentPartPr>
                          <w14:xfrm>
                            <a:off x="2634615" y="4282440"/>
                            <a:ext cx="307340" cy="4445"/>
                          </w14:xfrm>
                        </w14:contentPart>
                      </mc:Choice>
                    </mc:AlternateContent>
                  </a:graphicData>
                </a:graphic>
              </wp:anchor>
            </w:drawing>
          </mc:Choice>
          <mc:Fallback>
            <w:pict>
              <v:shape id="_x0000_s1026" o:spid="_x0000_s1026" o:spt="75" style="position:absolute;left:0pt;margin-left:117.45pt;margin-top:234pt;height:0.35pt;width:24.2pt;z-index:251661312;mso-width-relative:page;mso-height-relative:page;" coordsize="21600,21600" o:gfxdata="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">
                <v:imagedata r:id="rId9" o:title=""/>
                <o:lock v:ext="edit"/>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2227580</wp:posOffset>
                </wp:positionH>
                <wp:positionV relativeFrom="paragraph">
                  <wp:posOffset>2971800</wp:posOffset>
                </wp:positionV>
                <wp:extent cx="319405" cy="13970"/>
                <wp:effectExtent l="75565" t="75565" r="80010" b="78105"/>
                <wp:wrapNone/>
                <wp:docPr id="15" name="墨迹 15"/>
                <wp:cNvGraphicFramePr/>
                <a:graphic xmlns:a="http://schemas.openxmlformats.org/drawingml/2006/main">
                  <a:graphicData uri="http://schemas.microsoft.com/office/word/2010/wordprocessingInk">
                    <mc:AlternateContent xmlns:a14="http://schemas.microsoft.com/office/drawing/2010/main">
                      <mc:Choice Requires="a14">
                        <w14:contentPart bwMode="clr" r:id="rId10">
                          <w14:nvContentPartPr>
                            <w14:cNvPr id="15" name="墨迹 15"/>
                            <w14:cNvContentPartPr/>
                          </w14:nvContentPartPr>
                          <w14:xfrm>
                            <a:off x="3370580" y="4282440"/>
                            <a:ext cx="319405" cy="13970"/>
                          </w14:xfrm>
                        </w14:contentPart>
                      </mc:Choice>
                    </mc:AlternateContent>
                  </a:graphicData>
                </a:graphic>
              </wp:anchor>
            </w:drawing>
          </mc:Choice>
          <mc:Fallback>
            <w:pict>
              <v:shape id="_x0000_s1026" o:spid="_x0000_s1026" o:spt="75" style="position:absolute;left:0pt;margin-left:175.4pt;margin-top:234pt;height:1.1pt;width:25.15pt;z-index:251662336;mso-width-relative:page;mso-height-relative:page;" coordsize="21600,21600" o:gfxdata="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">
                <v:imagedata r:id="rId11" o:title=""/>
                <o:lock v:ext="edit"/>
              </v:shape>
            </w:pict>
          </mc:Fallback>
        </mc:AlternateContent>
      </w:r>
      <w:r>
        <w:rPr>
          <w:strike w:val="0"/>
          <w:highlight w:val="none"/>
          <w:u w:val="none"/>
        </w:rPr>
        <mc:AlternateContent>
          <mc:Choice Requires="wps">
            <w:drawing>
              <wp:anchor distT="0" distB="0" distL="114300" distR="114300" simplePos="0" relativeHeight="251659264" behindDoc="0" locked="0" layoutInCell="1" allowOverlap="1">
                <wp:simplePos x="0" y="0"/>
                <wp:positionH relativeFrom="column">
                  <wp:posOffset>1799590</wp:posOffset>
                </wp:positionH>
                <wp:positionV relativeFrom="paragraph">
                  <wp:posOffset>187960</wp:posOffset>
                </wp:positionV>
                <wp:extent cx="675640" cy="5715"/>
                <wp:effectExtent l="75565" t="75565" r="80010" b="79375"/>
                <wp:wrapNone/>
                <wp:docPr id="11" name="墨迹 11"/>
                <wp:cNvGraphicFramePr/>
                <a:graphic xmlns:a="http://schemas.openxmlformats.org/drawingml/2006/main">
                  <a:graphicData uri="http://schemas.microsoft.com/office/word/2010/wordprocessingInk">
                    <mc:AlternateContent xmlns:a14="http://schemas.microsoft.com/office/drawing/2010/main">
                      <mc:Choice Requires="a14">
                        <w14:contentPart bwMode="clr" r:id="rId12">
                          <w14:nvContentPartPr>
                            <w14:cNvPr id="11" name="墨迹 11"/>
                            <w14:cNvContentPartPr/>
                          </w14:nvContentPartPr>
                          <w14:xfrm>
                            <a:off x="2942590" y="1498600"/>
                            <a:ext cx="675640" cy="5715"/>
                          </w14:xfrm>
                        </w14:contentPart>
                      </mc:Choice>
                    </mc:AlternateContent>
                  </a:graphicData>
                </a:graphic>
              </wp:anchor>
            </w:drawing>
          </mc:Choice>
          <mc:Fallback>
            <w:pict>
              <v:shape id="_x0000_s1026" o:spid="_x0000_s1026" o:spt="75" style="position:absolute;left:0pt;margin-left:141.7pt;margin-top:14.8pt;height:0.45pt;width:53.2pt;z-index:251659264;mso-width-relative:page;mso-height-relative:page;" coordsize="21600,21600" o:gfxdata="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">
                <v:imagedata r:id="rId13" o:title=""/>
                <o:lock v:ext="edit"/>
              </v:shape>
            </w:pict>
          </mc:Fallback>
        </mc:AlternateContent>
      </w:r>
      <w:r>
        <w:rPr>
          <w:rFonts w:hint="eastAsia"/>
          <w:strike w:val="0"/>
          <w:highlight w:val="none"/>
          <w:u w:val="none"/>
          <w:lang w:eastAsia="zh-CN"/>
        </w:rPr>
        <w:drawing>
          <wp:inline distT="0" distB="0" distL="114300" distR="114300">
            <wp:extent cx="4124325" cy="4876800"/>
            <wp:effectExtent l="0" t="0" r="3810" b="5715"/>
            <wp:docPr id="3" name="图片 3" descr="2022-08-28 14:33:13.92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2-08-28 14:33:13.922000"/>
                    <pic:cNvPicPr>
                      <a:picLocks noChangeAspect="1"/>
                    </pic:cNvPicPr>
                  </pic:nvPicPr>
                  <pic:blipFill>
                    <a:blip r:embed="rId14"/>
                    <a:stretch>
                      <a:fillRect/>
                    </a:stretch>
                  </pic:blipFill>
                  <pic:spPr>
                    <a:xfrm>
                      <a:off x="0" y="0"/>
                      <a:ext cx="4124325" cy="4876800"/>
                    </a:xfrm>
                    <a:prstGeom prst="rect">
                      <a:avLst/>
                    </a:prstGeom>
                  </pic:spPr>
                </pic:pic>
              </a:graphicData>
            </a:graphic>
          </wp:inline>
        </w:drawing>
      </w:r>
    </w:p>
    <w:p>
      <w:pPr>
        <w:numPr>
          <w:ilvl w:val="0"/>
          <w:numId w:val="0"/>
        </w:numPr>
        <w:rPr>
          <w:rFonts w:hint="eastAsia"/>
          <w:strike w:val="0"/>
          <w:highlight w:val="none"/>
          <w:u w:val="none"/>
          <w:lang w:eastAsia="zh-CN"/>
        </w:rPr>
      </w:pPr>
      <w:r>
        <w:rPr>
          <w:rFonts w:hint="eastAsia" w:ascii="楷体" w:hAnsi="楷体" w:eastAsia="楷体" w:cs="楷体"/>
          <w:strike w:val="0"/>
          <w:sz w:val="28"/>
          <w:szCs w:val="28"/>
          <w:highlight w:val="none"/>
          <w:u w:val="none"/>
          <w:lang w:eastAsia="zh-CN"/>
        </w:rPr>
        <w:t xml:space="preserve">                  图3-1.3</w:t>
      </w:r>
    </w:p>
    <w:p>
      <w:pPr>
        <w:numPr>
          <w:ilvl w:val="0"/>
          <w:numId w:val="0"/>
        </w:numPr>
        <w:rPr>
          <w:rFonts w:hint="eastAsia"/>
          <w:strike w:val="0"/>
          <w:highlight w:val="none"/>
          <w:u w:val="none"/>
          <w:lang w:eastAsia="zh-CN"/>
        </w:rPr>
      </w:pPr>
    </w:p>
    <w:p>
      <w:pPr>
        <w:numPr>
          <w:ilvl w:val="0"/>
          <w:numId w:val="0"/>
        </w:numPr>
        <w:rPr>
          <w:rFonts w:hint="eastAsia"/>
          <w:lang w:eastAsia="zh-CN"/>
        </w:rPr>
      </w:pPr>
      <w:r>
        <w:drawing>
          <wp:inline distT="0" distB="0" distL="114300" distR="114300">
            <wp:extent cx="4208780" cy="2466340"/>
            <wp:effectExtent l="4445" t="4445" r="5715" b="889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numPr>
          <w:ilvl w:val="0"/>
          <w:numId w:val="0"/>
        </w:numPr>
        <w:rPr>
          <w:rFonts w:hint="eastAsia" w:ascii="楷体" w:hAnsi="楷体" w:eastAsia="楷体" w:cs="楷体"/>
          <w:sz w:val="28"/>
          <w:szCs w:val="28"/>
          <w:u w:val="none"/>
          <w:lang w:eastAsia="zh-CN"/>
        </w:rPr>
      </w:pPr>
      <w:r>
        <w:rPr>
          <w:rFonts w:hint="eastAsia"/>
          <w:lang w:eastAsia="zh-CN"/>
        </w:rPr>
        <w:t xml:space="preserve">                        </w:t>
      </w:r>
      <w:r>
        <w:rPr>
          <w:rFonts w:hint="eastAsia" w:ascii="楷体" w:hAnsi="楷体" w:eastAsia="楷体" w:cs="楷体"/>
          <w:sz w:val="28"/>
          <w:szCs w:val="28"/>
          <w:u w:val="none"/>
          <w:lang w:eastAsia="zh-CN"/>
        </w:rPr>
        <w:t>图3-1.4</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首先，我们通过图3-1.1可以清晰看到，中国发电组成中火力发电占比最大。据统计，我国火力发电行业年耗煤量约10亿吨。而在双碳形势下，据预测，2050年我国非石化发电量占总发电量比例将超过90%，煤炭比例将降至5%以下，火力发电行业结构低碳转型乃至最终实现净零所面临的任务十分艰巨。</w:t>
      </w:r>
    </w:p>
    <w:p>
      <w:pPr>
        <w:numPr>
          <w:ilvl w:val="0"/>
          <w:numId w:val="0"/>
        </w:numPr>
        <w:rPr>
          <w:rFonts w:hint="eastAsia" w:ascii="楷体" w:hAnsi="楷体" w:eastAsia="楷体" w:cs="楷体"/>
          <w:sz w:val="28"/>
          <w:szCs w:val="28"/>
          <w:u w:val="none"/>
          <w:lang w:eastAsia="zh-CN"/>
        </w:rPr>
      </w:pP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其次，通过图3-1.2可以看出，我国疫情形势下的用电量与GDP增速基本一致，在当前疫情常态化的趋势下，可以预测我国用电量将和GDP的走向步调一致，用电量峰年即是产业生产峰年，产业生产峰年即是GDP峰年。因此，用电量即可反映经济状况。</w:t>
      </w:r>
    </w:p>
    <w:p>
      <w:pPr>
        <w:numPr>
          <w:ilvl w:val="0"/>
          <w:numId w:val="0"/>
        </w:numPr>
        <w:rPr>
          <w:rFonts w:hint="eastAsia" w:ascii="楷体" w:hAnsi="楷体" w:eastAsia="楷体" w:cs="楷体"/>
          <w:sz w:val="28"/>
          <w:szCs w:val="28"/>
          <w:u w:val="none"/>
          <w:lang w:eastAsia="zh-CN"/>
        </w:rPr>
      </w:pP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根据国际货币基金组织研究，据预计，我国将需要将发电量从目前的约7.33万亿kWh 增加到 2050年的15万亿kWh，也就是总体要翻一番。而在双碳形势下，预测我国的火力发电占比不会增加，即除去一些本没有或少有、不以此为特色的城市的火力发电而通过引进清洁能源维持甚至提高产值。有研究表明，因火力发电“灵活性的调节作用及深度调峰能力”，我国保留的火电机组不少于8亿kW。可看出，国家仍然要保留很大一部分的火力发电——进行调峰。</w:t>
      </w:r>
    </w:p>
    <w:p>
      <w:pPr>
        <w:numPr>
          <w:ilvl w:val="0"/>
          <w:numId w:val="0"/>
        </w:numPr>
        <w:rPr>
          <w:rFonts w:hint="eastAsia" w:ascii="楷体" w:hAnsi="楷体" w:eastAsia="楷体" w:cs="楷体"/>
          <w:sz w:val="28"/>
          <w:szCs w:val="28"/>
          <w:u w:val="none"/>
          <w:lang w:eastAsia="zh-CN"/>
        </w:rPr>
      </w:pP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（2）原有火力发电不可替代性（差异比较）</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而这一部分调峰的火电从哪里出发呢？上面说到，国家在双碳形势下势必会大量使用新能源技术，而徐州作为重要煤电基地，具有成熟的技术、工业基础以及专业人才，预判国家会保留住徐州原有火电，不会大幅减少。根据图3-1.3推算出徐州一年用电量是200亿到240亿kWh，可以根据国家到2050年发电量（也就是国家用电量）翻一番的情况推出徐州用电量也会由现在的约200亿涨到2050年的约400亿（图3-1.4）但与此同时，火力发电不可能增加，那么这新增的部分将由清洁能源使用替补。</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我们与其他城市的差异化，就体现在徐州的火力发电具有强稳定性，在（资源）供给端无法大幅减少碳排放量。</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因此在上述情况下，徐州相较其他城市，在（资源）使用端方面进行升级更具有紧迫性。更需要选择并尽快的普及使用端的升级转型。</w:t>
      </w:r>
    </w:p>
    <w:p>
      <w:pPr>
        <w:numPr>
          <w:ilvl w:val="0"/>
          <w:numId w:val="0"/>
        </w:numPr>
        <w:rPr>
          <w:rFonts w:hint="eastAsia" w:ascii="黑体" w:hAnsi="黑体" w:eastAsia="黑体" w:cs="黑体"/>
          <w:sz w:val="32"/>
          <w:szCs w:val="32"/>
          <w:u w:val="none"/>
          <w:lang w:eastAsia="zh-CN"/>
        </w:rPr>
      </w:pPr>
      <w:r>
        <w:rPr>
          <w:rFonts w:hint="eastAsia" w:ascii="黑体" w:hAnsi="黑体" w:eastAsia="黑体" w:cs="黑体"/>
          <w:sz w:val="32"/>
          <w:szCs w:val="32"/>
          <w:u w:val="none"/>
          <w:lang w:eastAsia="zh-CN"/>
        </w:rPr>
        <w:t xml:space="preserve">               </w:t>
      </w:r>
    </w:p>
    <w:p>
      <w:pPr>
        <w:numPr>
          <w:ilvl w:val="0"/>
          <w:numId w:val="2"/>
        </w:numPr>
        <w:rPr>
          <w:rFonts w:hint="eastAsia" w:ascii="黑体" w:hAnsi="黑体" w:eastAsia="黑体" w:cs="黑体"/>
          <w:sz w:val="32"/>
          <w:szCs w:val="32"/>
          <w:u w:val="none"/>
          <w:lang w:eastAsia="zh-CN"/>
        </w:rPr>
      </w:pPr>
      <w:r>
        <w:rPr>
          <w:rFonts w:hint="eastAsia" w:ascii="黑体" w:hAnsi="黑体" w:eastAsia="黑体" w:cs="黑体"/>
          <w:sz w:val="32"/>
          <w:szCs w:val="32"/>
          <w:u w:val="none"/>
          <w:lang w:eastAsia="zh-CN"/>
        </w:rPr>
        <w:t>交通运输工具电气化替换趋势分析</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提到资源使用端，首要的，便是交通运输工具的替换，新能源汽车也已成为发展的必然趋势。</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自2016年起上海、南京、无锡、济南、深圳五个城市已率先试点启用新能源汽车专用号牌，截至2017年底，这五个试点城市已发放新能源汽车专用号牌7.6万副。2017年11月起，在五个试点城市推广基础上，增加12个省会市、直辖市、自治区首府市；2018年上半年，全国所有城市全面启动新号牌。</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sz w:val="28"/>
          <w:szCs w:val="28"/>
          <w:u w:val="none"/>
          <w:lang w:eastAsia="zh-CN"/>
        </w:rPr>
        <w:t xml:space="preserve">    2019年，山东省发布</w:t>
      </w:r>
      <w:r>
        <w:rPr>
          <w:rFonts w:hint="eastAsia" w:ascii="楷体" w:hAnsi="楷体" w:eastAsia="楷体" w:cs="楷体"/>
          <w:b/>
          <w:bCs/>
          <w:sz w:val="28"/>
          <w:szCs w:val="28"/>
          <w:u w:val="none"/>
          <w:lang w:eastAsia="zh-CN"/>
        </w:rPr>
        <w:t>《关于山东省实施国家第六阶段机动车排放标准的通告》</w:t>
      </w:r>
      <w:r>
        <w:rPr>
          <w:rFonts w:hint="eastAsia" w:ascii="楷体" w:hAnsi="楷体" w:eastAsia="楷体" w:cs="楷体"/>
          <w:b w:val="0"/>
          <w:bCs w:val="0"/>
          <w:sz w:val="28"/>
          <w:szCs w:val="28"/>
          <w:u w:val="none"/>
          <w:lang w:eastAsia="zh-CN"/>
        </w:rPr>
        <w:t>，这是山东省内执行国六标准的正式通知，也被媒体称为最严格燃油车限令。文件中提到：自2019年7月1日起，山东省行政区域内</w:t>
      </w:r>
      <w:r>
        <w:rPr>
          <w:rFonts w:hint="eastAsia" w:ascii="楷体" w:hAnsi="楷体" w:eastAsia="楷体" w:cs="楷体"/>
          <w:b/>
          <w:bCs/>
          <w:sz w:val="28"/>
          <w:szCs w:val="28"/>
          <w:u w:val="none"/>
          <w:lang w:eastAsia="zh-CN"/>
        </w:rPr>
        <w:t>停止进口、销售和注册登记达不到国家6a阶段排放标准的新生产轻型汽车</w:t>
      </w:r>
      <w:r>
        <w:rPr>
          <w:rFonts w:hint="eastAsia" w:ascii="楷体" w:hAnsi="楷体" w:eastAsia="楷体" w:cs="楷体"/>
          <w:b w:val="0"/>
          <w:bCs w:val="0"/>
          <w:sz w:val="28"/>
          <w:szCs w:val="28"/>
          <w:u w:val="none"/>
          <w:lang w:eastAsia="zh-CN"/>
        </w:rPr>
        <w:t>。这里的轻型汽车范围广泛，包括了市场上绝大多数的轿车、SUV、MPV、微型面包车、轿卡、小货车，不论汽油车还是柴油车，全部都在限制范围内。</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以上情况，更有力地说明了国家为了达成“碳达峰、碳中和”指标正在大力推广在资源使用端的转型升级、普及新能源将成为十年内的趋势。</w:t>
      </w:r>
    </w:p>
    <w:p>
      <w:pPr>
        <w:numPr>
          <w:ilvl w:val="0"/>
          <w:numId w:val="0"/>
        </w:numPr>
        <w:rPr>
          <w:rFonts w:hint="eastAsia" w:ascii="楷体" w:hAnsi="楷体" w:eastAsia="楷体" w:cs="楷体"/>
          <w:b w:val="0"/>
          <w:bCs w:val="0"/>
          <w:sz w:val="28"/>
          <w:szCs w:val="28"/>
          <w:u w:val="none"/>
          <w:lang w:eastAsia="zh-CN"/>
        </w:rPr>
      </w:pPr>
    </w:p>
    <w:p>
      <w:pPr>
        <w:numPr>
          <w:ilvl w:val="0"/>
          <w:numId w:val="2"/>
        </w:numPr>
        <w:rPr>
          <w:rFonts w:hint="eastAsia" w:ascii="黑体" w:hAnsi="黑体" w:eastAsia="黑体" w:cs="黑体"/>
          <w:b w:val="0"/>
          <w:bCs w:val="0"/>
          <w:sz w:val="32"/>
          <w:szCs w:val="32"/>
          <w:u w:val="none"/>
          <w:lang w:eastAsia="zh-CN"/>
        </w:rPr>
      </w:pPr>
      <w:r>
        <w:rPr>
          <w:rFonts w:hint="eastAsia" w:ascii="黑体" w:hAnsi="黑体" w:eastAsia="黑体" w:cs="黑体"/>
          <w:b w:val="0"/>
          <w:bCs w:val="0"/>
          <w:sz w:val="32"/>
          <w:szCs w:val="32"/>
          <w:u w:val="none"/>
          <w:lang w:eastAsia="zh-CN"/>
        </w:rPr>
        <w:t>总体分析国家技术差异化竞争优势</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国家之所以大力推广新能源汽车这一产业，推测还有另外一个作用或益处——发展差异化竞争优势实现“弯道超车”。</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德国、日本、美国这些老牌车系都具有成熟、独特的风格，自成体系，精良的技术工艺、车身的坚固性、可靠性、操作性能都排在中国之前，中国若是一味以自身短处追逐他国的长处，则无效率无优势可言，即我们必须发展差异化竞争优势。</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在如今时代剧变中，世界比拼的就是输赢，我们若想赢，就必须采取“弯道超车”的做法，不断创新挖掘自身的差异化优势，快速抢占国际市场，在兑现“双碳计划”承诺过程中，给世界做了“创新、绿色、健康”的示范榜样，展现“中国智慧”、提供“中国方案”，同时快速提升了国际地位，这便体现出差异化竞争优势的重要性。这就是国家须要以自身技术创新发展差异化竞争优势重要性必要性。</w:t>
      </w:r>
    </w:p>
    <w:p>
      <w:pPr>
        <w:numPr>
          <w:ilvl w:val="0"/>
          <w:numId w:val="0"/>
        </w:numPr>
        <w:rPr>
          <w:rFonts w:hint="eastAsia" w:ascii="楷体" w:hAnsi="楷体" w:eastAsia="楷体" w:cs="楷体"/>
          <w:sz w:val="28"/>
          <w:szCs w:val="28"/>
          <w:u w:val="none"/>
          <w:lang w:eastAsia="zh-CN"/>
        </w:rPr>
      </w:pPr>
    </w:p>
    <w:p>
      <w:pPr>
        <w:numPr>
          <w:ilvl w:val="0"/>
          <w:numId w:val="2"/>
        </w:numPr>
        <w:rPr>
          <w:rFonts w:hint="eastAsia" w:ascii="黑体" w:hAnsi="黑体" w:eastAsia="黑体" w:cs="黑体"/>
          <w:sz w:val="32"/>
          <w:szCs w:val="32"/>
          <w:u w:val="none"/>
          <w:lang w:eastAsia="zh-CN"/>
        </w:rPr>
      </w:pPr>
      <w:r>
        <w:rPr>
          <w:rFonts w:hint="eastAsia" w:ascii="黑体" w:hAnsi="黑体" w:eastAsia="黑体" w:cs="黑体"/>
          <w:sz w:val="32"/>
          <w:szCs w:val="32"/>
          <w:u w:val="none"/>
          <w:lang w:eastAsia="zh-CN"/>
        </w:rPr>
        <w:t>徐州起区域引领作用必要性和重要性</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分析完国家层面，再回看徐州。</w:t>
      </w:r>
    </w:p>
    <w:p>
      <w:pPr>
        <w:numPr>
          <w:ilvl w:val="0"/>
          <w:numId w:val="0"/>
        </w:numPr>
        <w:rPr>
          <w:rFonts w:hint="eastAsia" w:ascii="楷体" w:hAnsi="楷体" w:eastAsia="楷体" w:cs="楷体"/>
          <w:sz w:val="28"/>
          <w:szCs w:val="28"/>
          <w:u w:val="none"/>
          <w:lang w:eastAsia="zh-CN"/>
        </w:rPr>
      </w:pPr>
      <w:r>
        <w:rPr>
          <w:rFonts w:hint="eastAsia" w:ascii="黑体" w:hAnsi="黑体" w:eastAsia="黑体" w:cs="黑体"/>
          <w:b w:val="0"/>
          <w:bCs w:val="0"/>
          <w:sz w:val="28"/>
          <w:szCs w:val="28"/>
          <w:u w:val="none"/>
          <w:lang w:eastAsia="zh-CN"/>
        </w:rPr>
        <w:t>必要性</w:t>
      </w:r>
      <w:r>
        <w:rPr>
          <w:rFonts w:hint="eastAsia" w:ascii="楷体" w:hAnsi="楷体" w:eastAsia="楷体" w:cs="楷体"/>
          <w:sz w:val="28"/>
          <w:szCs w:val="28"/>
          <w:u w:val="none"/>
          <w:lang w:eastAsia="zh-CN"/>
        </w:rPr>
        <w:t>：首先是淮海经济圈中心这一地位，使得我们“不得不”快速响应国家号召，完成我们代表淮海经济区发展这一重要任务。</w:t>
      </w:r>
    </w:p>
    <w:p>
      <w:pPr>
        <w:numPr>
          <w:ilvl w:val="0"/>
          <w:numId w:val="0"/>
        </w:numPr>
        <w:rPr>
          <w:rFonts w:hint="eastAsia" w:ascii="楷体" w:hAnsi="楷体" w:eastAsia="楷体" w:cs="楷体"/>
          <w:sz w:val="28"/>
          <w:szCs w:val="28"/>
          <w:u w:val="none"/>
          <w:lang w:eastAsia="zh-CN"/>
        </w:rPr>
      </w:pPr>
      <w:r>
        <w:rPr>
          <w:rFonts w:hint="eastAsia" w:ascii="楷体" w:hAnsi="楷体" w:eastAsia="楷体" w:cs="楷体"/>
          <w:sz w:val="28"/>
          <w:szCs w:val="28"/>
          <w:u w:val="none"/>
          <w:lang w:eastAsia="zh-CN"/>
        </w:rPr>
        <w:t xml:space="preserve">    其次，上文根据数据分析到，徐州不同于其他城市可以凭借大量启用新能源代替火力发电减少碳排放，我们作为全省唯一的煤炭产地、江苏省供电大市、国家重要煤电基地，有着特别的任务和压力，因此只能着手从资源使用端口减少碳排放，并且还要大力普及新能源来填补火力发电造成的环境空缺。因此，徐州在新能源普及上具有引领作用是必要的。</w:t>
      </w:r>
    </w:p>
    <w:p>
      <w:pPr>
        <w:numPr>
          <w:ilvl w:val="0"/>
          <w:numId w:val="0"/>
        </w:numPr>
        <w:rPr>
          <w:rFonts w:hint="eastAsia" w:ascii="楷体" w:hAnsi="楷体" w:eastAsia="楷体" w:cs="楷体"/>
          <w:b w:val="0"/>
          <w:bCs w:val="0"/>
          <w:sz w:val="28"/>
          <w:szCs w:val="28"/>
          <w:u w:val="none"/>
          <w:lang w:eastAsia="zh-CN"/>
        </w:rPr>
      </w:pPr>
      <w:r>
        <w:rPr>
          <w:rFonts w:hint="eastAsia" w:ascii="黑体" w:hAnsi="黑体" w:eastAsia="黑体" w:cs="黑体"/>
          <w:b w:val="0"/>
          <w:bCs w:val="0"/>
          <w:sz w:val="28"/>
          <w:szCs w:val="28"/>
          <w:u w:val="none"/>
          <w:lang w:eastAsia="zh-CN"/>
        </w:rPr>
        <w:t>重要性</w:t>
      </w:r>
      <w:r>
        <w:rPr>
          <w:rFonts w:hint="eastAsia" w:ascii="楷体" w:hAnsi="楷体" w:eastAsia="楷体" w:cs="楷体"/>
          <w:b w:val="0"/>
          <w:bCs w:val="0"/>
          <w:sz w:val="28"/>
          <w:szCs w:val="28"/>
          <w:u w:val="none"/>
          <w:lang w:eastAsia="zh-CN"/>
        </w:rPr>
        <w:t>：再者，与上文国家层面的角度相同，徐州通过大力推行新能源汽车这一项目可以稳健提升城市地位，作为国家要求响应者、国家指标积极达成者，以及沿海经济区环境与经济发展同步推进的卓越平衡者，徐州可以稳守淮海经济区中心和国家重点资源型、环境良好型城市的荣耀，将“天时”、“地利”、“人和”完美集合。这便是徐州应当起引领作用的重要性。</w:t>
      </w:r>
    </w:p>
    <w:p>
      <w:pPr>
        <w:numPr>
          <w:ilvl w:val="0"/>
          <w:numId w:val="0"/>
        </w:numPr>
        <w:rPr>
          <w:rFonts w:hint="eastAsia" w:ascii="楷体" w:hAnsi="楷体" w:eastAsia="楷体" w:cs="楷体"/>
          <w:b w:val="0"/>
          <w:bCs w:val="0"/>
          <w:sz w:val="28"/>
          <w:szCs w:val="28"/>
          <w:u w:val="none"/>
          <w:lang w:eastAsia="zh-CN"/>
        </w:rPr>
      </w:pPr>
    </w:p>
    <w:p>
      <w:pPr>
        <w:numPr>
          <w:ilvl w:val="0"/>
          <w:numId w:val="0"/>
        </w:numPr>
        <w:rPr>
          <w:rFonts w:hint="eastAsia" w:ascii="黑体" w:hAnsi="黑体" w:eastAsia="黑体" w:cs="黑体"/>
          <w:b w:val="0"/>
          <w:bCs w:val="0"/>
          <w:sz w:val="32"/>
          <w:szCs w:val="32"/>
          <w:u w:val="none"/>
          <w:lang w:eastAsia="zh-CN"/>
        </w:rPr>
      </w:pPr>
    </w:p>
    <w:p>
      <w:pPr>
        <w:numPr>
          <w:ilvl w:val="0"/>
          <w:numId w:val="2"/>
        </w:numPr>
        <w:rPr>
          <w:rFonts w:hint="eastAsia" w:ascii="黑体" w:hAnsi="黑体" w:eastAsia="黑体" w:cs="黑体"/>
          <w:b w:val="0"/>
          <w:bCs w:val="0"/>
          <w:sz w:val="32"/>
          <w:szCs w:val="32"/>
          <w:u w:val="none"/>
          <w:lang w:eastAsia="zh-CN"/>
        </w:rPr>
      </w:pPr>
      <w:r>
        <w:rPr>
          <w:rFonts w:hint="eastAsia" w:ascii="黑体" w:hAnsi="黑体" w:eastAsia="黑体" w:cs="黑体"/>
          <w:b w:val="0"/>
          <w:bCs w:val="0"/>
          <w:sz w:val="32"/>
          <w:szCs w:val="32"/>
          <w:u w:val="none"/>
          <w:lang w:eastAsia="zh-CN"/>
        </w:rPr>
        <w:t>提前预设的必要性和方案提供</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对于电动汽车来说，最要紧的前提准备便是充电桩的基础设施建设。</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首先要考虑充电的续航问题，大多数城市多以充电服务为主，为了满足庞大充电需求量，扩大基础设施规模是必不可少的。目前北京已在五环内、大型居民区，以及交通枢纽周边启动了接近200座的充换电站建设，而且也会逐渐提升来满足运营需要。</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其次，各政府要考虑电汽车出租车司机的利益问题。据了解，②  </w:t>
      </w:r>
      <w:r>
        <w:rPr>
          <w:rFonts w:hint="eastAsia" w:ascii="楷体" w:hAnsi="楷体" w:eastAsia="楷体" w:cs="楷体"/>
          <w:b w:val="0"/>
          <w:bCs w:val="0"/>
          <w:sz w:val="28"/>
          <w:szCs w:val="28"/>
          <w:u w:val="single"/>
          <w:lang w:eastAsia="zh-CN"/>
        </w:rPr>
        <w:t>普通燃油出租车价格约在6万元-7万元左右，而纯电动出租车即便是补贴后价格都要比燃油车型高上不少，而且新能源出租车使用年限比燃油车型更短，20万公里左右电池衰减就已经比较严重。</w:t>
      </w:r>
      <w:r>
        <w:rPr>
          <w:rFonts w:hint="eastAsia" w:ascii="楷体" w:hAnsi="楷体" w:eastAsia="楷体" w:cs="楷体"/>
          <w:b w:val="0"/>
          <w:bCs w:val="0"/>
          <w:sz w:val="28"/>
          <w:szCs w:val="28"/>
          <w:u w:val="none"/>
          <w:lang w:eastAsia="zh-CN"/>
        </w:rPr>
        <w:t>因此，想要真正普及新能源汽车，政府要给予一定的补助和支持，切实了人民的利益才能够更好的鼓励人民用车更新换代。</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最后，可以想到，在国家推出新能源汽车政策后，各大企业会去争夺新能源汽车市场，各企业间的技术存在无法共享的问题，那么将会导致新能源汽车的管理和维修出现问题，在制度上会略显混乱。因此想要普及，就必须做到规范管理，制定统一标准，加强制度管理。</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由上述三种原因可以推导徐州市想要普及新能源汽车使用，必须要提前进行三年、五年规划，以便到2030年能全面达成甚至超额完成国家给出的指标，继而提前进行碳中和项目。</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w:t>
      </w:r>
    </w:p>
    <w:p>
      <w:pPr>
        <w:numPr>
          <w:ilvl w:val="0"/>
          <w:numId w:val="2"/>
        </w:numPr>
        <w:rPr>
          <w:rFonts w:hint="eastAsia" w:ascii="黑体" w:hAnsi="黑体" w:eastAsia="黑体" w:cs="黑体"/>
          <w:b w:val="0"/>
          <w:bCs w:val="0"/>
          <w:sz w:val="32"/>
          <w:szCs w:val="32"/>
          <w:u w:val="none"/>
          <w:lang w:eastAsia="zh-CN"/>
        </w:rPr>
      </w:pPr>
      <w:r>
        <w:rPr>
          <w:rFonts w:hint="eastAsia" w:ascii="黑体" w:hAnsi="黑体" w:eastAsia="黑体" w:cs="黑体"/>
          <w:b w:val="0"/>
          <w:bCs w:val="0"/>
          <w:sz w:val="32"/>
          <w:szCs w:val="32"/>
          <w:u w:val="none"/>
          <w:lang w:eastAsia="zh-CN"/>
        </w:rPr>
        <w:t>新能源项目带来经济效益</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（1）新能源汽车项目投资</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2021年我国新能源汽车产业快速发展，销量达352.1万辆，同比增长1.6倍，预计2025年新能源汽车销量占比有望超过30%，2030年超过50%，保有量8000万至1亿辆。</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此外，新能源车辆出口同样表现出色，售出达31万辆，同比增长3倍。</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截至2021年底，我国新能源汽车整车累计消费约1.6万亿人民币，</w:t>
      </w:r>
      <w:r>
        <w:rPr>
          <w:rFonts w:hint="eastAsia" w:ascii="楷体" w:hAnsi="楷体" w:eastAsia="楷体" w:cs="楷体"/>
          <w:b/>
          <w:bCs/>
          <w:color w:val="000000" w:themeColor="text1"/>
          <w:sz w:val="28"/>
          <w:szCs w:val="28"/>
          <w:u w:val="none"/>
          <w:lang w:eastAsia="zh-CN"/>
          <w14:textFill>
            <w14:solidFill>
              <w14:schemeClr w14:val="tx1"/>
            </w14:solidFill>
          </w14:textFill>
        </w:rPr>
        <w:t>带动上下游产业链产值约4.8万亿元</w:t>
      </w:r>
      <w:r>
        <w:rPr>
          <w:rFonts w:hint="eastAsia" w:ascii="楷体" w:hAnsi="楷体" w:eastAsia="楷体" w:cs="楷体"/>
          <w:b w:val="0"/>
          <w:bCs w:val="0"/>
          <w:sz w:val="28"/>
          <w:szCs w:val="28"/>
          <w:u w:val="none"/>
          <w:lang w:eastAsia="zh-CN"/>
        </w:rPr>
        <w:t>。</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由此数据得知，新能源汽车项目潜力大、市场广阔，可带来丰富经济效益，带动我国经济发展。</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（2）充电桩投资利润</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如果我们以当下0.5元左右的服务费，按照每个充电桩每天充电4个小时计算预期收益。</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一天充电120kW*4=480度电，那么一天的收益是480*0.5=240元，减去成本50元，实得净利润190元，那么算下来一年的收益将是190*30*12=68400元，那么年化收益率是68400/199000=34.3%，十年的收益率就是68.4万/19.9万=3.44倍。</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如果变为将来1元的服务费，按照此思路将计算出一年收益是154800元，十年收益率为7.79倍。</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由以上数据表明，不仅新能源项目本身可以产生巨大经济效益，带动经济发展，其相关项目也存在很大的投资潜力，从而对社会经济发展产生良性的影响。</w:t>
      </w:r>
    </w:p>
    <w:p>
      <w:pPr>
        <w:numPr>
          <w:ilvl w:val="0"/>
          <w:numId w:val="0"/>
        </w:numPr>
        <w:rPr>
          <w:rFonts w:hint="eastAsia" w:ascii="楷体" w:hAnsi="楷体" w:eastAsia="楷体" w:cs="楷体"/>
          <w:b w:val="0"/>
          <w:bCs w:val="0"/>
          <w:sz w:val="28"/>
          <w:szCs w:val="28"/>
          <w:u w:val="none"/>
          <w:lang w:eastAsia="zh-CN"/>
        </w:rPr>
      </w:pPr>
    </w:p>
    <w:p>
      <w:pPr>
        <w:numPr>
          <w:ilvl w:val="0"/>
          <w:numId w:val="2"/>
        </w:numPr>
        <w:rPr>
          <w:rFonts w:hint="eastAsia" w:ascii="黑体" w:hAnsi="黑体" w:eastAsia="黑体" w:cs="黑体"/>
          <w:b w:val="0"/>
          <w:bCs w:val="0"/>
          <w:sz w:val="32"/>
          <w:szCs w:val="32"/>
          <w:u w:val="none"/>
          <w:lang w:eastAsia="zh-CN"/>
        </w:rPr>
      </w:pPr>
      <w:r>
        <w:rPr>
          <w:rFonts w:hint="eastAsia" w:ascii="黑体" w:hAnsi="黑体" w:eastAsia="黑体" w:cs="黑体"/>
          <w:b w:val="0"/>
          <w:bCs w:val="0"/>
          <w:sz w:val="32"/>
          <w:szCs w:val="32"/>
          <w:u w:val="none"/>
          <w:lang w:eastAsia="zh-CN"/>
        </w:rPr>
        <w:t>总结</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通过本次研究性学习活动，我们小组成员皆对国家能源、电力资源供给使用结构以及时代潮流——新能源汽车等方面知识产生了强烈的学习兴趣，进行了对所查资料的激烈讨论研究，对世界环境状况、能源状况有了更进一步的了解，在研究性学习中明白了小组分工合作的意义和作用，增加了思考维度和信息辨识能力，从不同角度看待问题，增强了我们分析问题的逻辑性、严谨性，让我们体验了共同探索知识的益趣。</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 xml:space="preserve"> </w:t>
      </w:r>
    </w:p>
    <w:p>
      <w:pPr>
        <w:numPr>
          <w:ilvl w:val="0"/>
          <w:numId w:val="0"/>
        </w:numPr>
        <w:rPr>
          <w:rFonts w:hint="eastAsia" w:ascii="楷体" w:hAnsi="楷体" w:eastAsia="楷体" w:cs="楷体"/>
          <w:b w:val="0"/>
          <w:bCs w:val="0"/>
          <w:sz w:val="28"/>
          <w:szCs w:val="28"/>
          <w:u w:val="none"/>
          <w:lang w:eastAsia="zh-CN"/>
        </w:rPr>
      </w:pPr>
      <w:r>
        <w:rPr>
          <w:rFonts w:hint="eastAsia" w:ascii="黑体" w:hAnsi="黑体" w:eastAsia="黑体" w:cs="黑体"/>
          <w:b w:val="0"/>
          <w:bCs w:val="0"/>
          <w:sz w:val="28"/>
          <w:szCs w:val="28"/>
          <w:u w:val="none"/>
          <w:lang w:eastAsia="zh-CN"/>
        </w:rPr>
        <w:t>尾注：</w:t>
      </w:r>
      <w:r>
        <w:rPr>
          <w:rFonts w:hint="eastAsia" w:ascii="楷体" w:hAnsi="楷体" w:eastAsia="楷体" w:cs="楷体"/>
          <w:b w:val="0"/>
          <w:bCs w:val="0"/>
          <w:sz w:val="28"/>
          <w:szCs w:val="28"/>
          <w:u w:val="none"/>
          <w:lang w:eastAsia="zh-CN"/>
        </w:rPr>
        <w:t>①：摘自：【徐州日报】《江苏徐州：描“蓝”披“绿” 用“生态”底色绘就“发展”绿色》</w:t>
      </w:r>
    </w:p>
    <w:p>
      <w:pPr>
        <w:numPr>
          <w:ilvl w:val="0"/>
          <w:numId w:val="0"/>
        </w:numPr>
        <w:rPr>
          <w:rFonts w:hint="eastAsia" w:ascii="楷体" w:hAnsi="楷体" w:eastAsia="楷体" w:cs="楷体"/>
          <w:b w:val="0"/>
          <w:bCs w:val="0"/>
          <w:sz w:val="28"/>
          <w:szCs w:val="28"/>
          <w:u w:val="none"/>
          <w:lang w:eastAsia="zh-CN"/>
        </w:rPr>
      </w:pPr>
      <w:r>
        <w:rPr>
          <w:rFonts w:hint="eastAsia" w:ascii="楷体" w:hAnsi="楷体" w:eastAsia="楷体" w:cs="楷体"/>
          <w:b w:val="0"/>
          <w:bCs w:val="0"/>
          <w:sz w:val="28"/>
          <w:szCs w:val="28"/>
          <w:u w:val="none"/>
          <w:lang w:eastAsia="zh-CN"/>
        </w:rPr>
        <w:t>②：摘自《北京加快新能源出租车部署，有哪些准备工作需要加快完成呢？》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0A2F58"/>
    <w:multiLevelType w:val="singleLevel"/>
    <w:tmpl w:val="630A2F58"/>
    <w:lvl w:ilvl="0" w:tentative="0">
      <w:start w:val="1"/>
      <w:numFmt w:val="decimal"/>
      <w:lvlText w:val="%1."/>
      <w:lvlJc w:val="left"/>
    </w:lvl>
  </w:abstractNum>
  <w:abstractNum w:abstractNumId="1">
    <w:nsid w:val="630A39D6"/>
    <w:multiLevelType w:val="singleLevel"/>
    <w:tmpl w:val="630A39D6"/>
    <w:lvl w:ilvl="0" w:tentative="0">
      <w:start w:val="1"/>
      <w:numFmt w:val="decimal"/>
      <w:lvlText w:val="%1."/>
      <w:lvlJc w:val="left"/>
    </w:lvl>
  </w:abstractNum>
  <w:abstractNum w:abstractNumId="2">
    <w:nsid w:val="630A41B8"/>
    <w:multiLevelType w:val="singleLevel"/>
    <w:tmpl w:val="630A41B8"/>
    <w:lvl w:ilvl="0" w:tentative="0">
      <w:start w:val="1"/>
      <w:numFmt w:val="decimal"/>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000000"/>
    <w:rsid w:val="33B93A0E"/>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customXml" Target="ink/ink2.xml"/><Relationship Id="rId7" Type="http://schemas.openxmlformats.org/officeDocument/2006/relationships/image" Target="media/image3.png"/><Relationship Id="rId6" Type="http://schemas.openxmlformats.org/officeDocument/2006/relationships/customXml" Target="ink/ink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customXml" Target="ink/ink4.xml"/><Relationship Id="rId11" Type="http://schemas.openxmlformats.org/officeDocument/2006/relationships/image" Target="media/image5.png"/><Relationship Id="rId10" Type="http://schemas.openxmlformats.org/officeDocument/2006/relationships/customXml" Target="ink/ink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var/mobile/Containers/Data/Application/AFCD6CF7-9E3D-4565-ABBA-81A44AB90449/Documents/1322601627_cloud_folder/&#24037;&#20316;&#3180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0" vertOverflow="ellipsis" vert="horz" wrap="square" anchor="ctr" anchorCtr="1"/>
          <a:lstStyle/>
          <a:p>
            <a:pPr defTabSz="914400">
              <a:defRPr lang="x-none" sz="1400" b="0" i="0" u="none" strike="noStrike" kern="1200" spc="0" baseline="0">
                <a:solidFill>
                  <a:schemeClr val="tx1">
                    <a:lumMod val="65000"/>
                    <a:lumOff val="35000"/>
                  </a:schemeClr>
                </a:solidFill>
                <a:latin typeface="+mn-lt"/>
                <a:ea typeface="+mn-ea"/>
                <a:cs typeface="+mn-cs"/>
              </a:defRPr>
            </a:pPr>
            <a:r>
              <a:t>2021和2050徐州用电量、发电量</a:t>
            </a:r>
          </a:p>
        </c:rich>
      </c:tx>
      <c:layout/>
      <c:overlay val="0"/>
      <c:spPr>
        <a:noFill/>
        <a:ln>
          <a:noFill/>
        </a:ln>
        <a:effectLst/>
      </c:spPr>
    </c:title>
    <c:autoTitleDeleted val="0"/>
    <c:plotArea>
      <c:layout/>
      <c:barChart>
        <c:barDir val="bar"/>
        <c:grouping val="clustered"/>
        <c:varyColors val="0"/>
        <c:ser>
          <c:idx val="0"/>
          <c:order val="0"/>
          <c:tx>
            <c:strRef>
              <c:f>[工作簿.xlsx]Sheet1!$A$2</c:f>
              <c:strCache>
                <c:ptCount val="1"/>
                <c:pt idx="0">
                  <c:v>徐州发电</c:v>
                </c:pt>
              </c:strCache>
            </c:strRef>
          </c:tx>
          <c:spPr>
            <a:solidFill>
              <a:schemeClr val="accent2">
                <a:shade val="76667"/>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x-none"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[工作簿.xlsx]Sheet1!$B$1:$C$1</c:f>
              <c:numCache>
                <c:formatCode>General</c:formatCode>
                <c:ptCount val="2"/>
                <c:pt idx="0">
                  <c:v>2050</c:v>
                </c:pt>
                <c:pt idx="1">
                  <c:v>2021</c:v>
                </c:pt>
              </c:numCache>
            </c:numRef>
          </c:cat>
          <c:val>
            <c:numRef>
              <c:f>[工作簿.xlsx]Sheet1!$B$2:$C$2</c:f>
              <c:numCache>
                <c:formatCode>General</c:formatCode>
                <c:ptCount val="2"/>
                <c:pt idx="0">
                  <c:v>400</c:v>
                </c:pt>
                <c:pt idx="1">
                  <c:v>400</c:v>
                </c:pt>
              </c:numCache>
            </c:numRef>
          </c:val>
        </c:ser>
        <c:ser>
          <c:idx val="1"/>
          <c:order val="1"/>
          <c:tx>
            <c:strRef>
              <c:f>[工作簿.xlsx]Sheet1!$A$3</c:f>
              <c:strCache>
                <c:ptCount val="1"/>
                <c:pt idx="0">
                  <c:v>徐州用电</c:v>
                </c:pt>
              </c:strCache>
            </c:strRef>
          </c:tx>
          <c:spPr>
            <a:solidFill>
              <a:schemeClr val="accent2">
                <a:tint val="76667"/>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x-none"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tint val="76667"/>
                  </a:schemeClr>
                </a:solidFill>
                <a:prstDash val="sysDot"/>
              </a:ln>
              <a:effectLst/>
            </c:spPr>
            <c:trendlineType val="log"/>
            <c:dispRSqr val="0"/>
            <c:dispEq val="0"/>
          </c:trendline>
          <c:cat>
            <c:numRef>
              <c:f>[工作簿.xlsx]Sheet1!$B$1:$C$1</c:f>
              <c:numCache>
                <c:formatCode>General</c:formatCode>
                <c:ptCount val="2"/>
                <c:pt idx="0">
                  <c:v>2050</c:v>
                </c:pt>
                <c:pt idx="1">
                  <c:v>2021</c:v>
                </c:pt>
              </c:numCache>
            </c:numRef>
          </c:cat>
          <c:val>
            <c:numRef>
              <c:f>[工作簿.xlsx]Sheet1!$B$3:$C$3</c:f>
              <c:numCache>
                <c:formatCode>General</c:formatCode>
                <c:ptCount val="2"/>
                <c:pt idx="0">
                  <c:v>400</c:v>
                </c:pt>
                <c:pt idx="1">
                  <c:v>200</c:v>
                </c:pt>
              </c:numCache>
            </c:numRef>
          </c:val>
        </c:ser>
        <c:dLbls>
          <c:showLegendKey val="0"/>
          <c:showVal val="1"/>
          <c:showCatName val="0"/>
          <c:showSerName val="0"/>
          <c:showPercent val="0"/>
          <c:showBubbleSize val="0"/>
        </c:dLbls>
        <c:gapWidth val="150"/>
        <c:overlap val="0"/>
        <c:axId val="478586127"/>
        <c:axId val="710203236"/>
      </c:barChart>
      <c:catAx>
        <c:axId val="478586127"/>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x-none" sz="900" b="0" i="0" u="none" strike="noStrike" kern="1200" baseline="0">
                <a:solidFill>
                  <a:schemeClr val="tx1">
                    <a:lumMod val="65000"/>
                    <a:lumOff val="35000"/>
                  </a:schemeClr>
                </a:solidFill>
                <a:latin typeface="+mn-lt"/>
                <a:ea typeface="+mn-ea"/>
                <a:cs typeface="+mn-cs"/>
              </a:defRPr>
            </a:pPr>
          </a:p>
        </c:txPr>
        <c:crossAx val="710203236"/>
        <c:crosses val="autoZero"/>
        <c:auto val="1"/>
        <c:lblAlgn val="ctr"/>
        <c:lblOffset val="100"/>
        <c:noMultiLvlLbl val="0"/>
      </c:catAx>
      <c:valAx>
        <c:axId val="710203236"/>
        <c:scaling>
          <c:orientation val="minMax"/>
          <c:max val="500"/>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0" vertOverflow="ellipsis" vert="horz" wrap="square" anchor="ctr" anchorCtr="1"/>
          <a:lstStyle/>
          <a:p>
            <a:pPr>
              <a:defRPr lang="x-none" sz="900" b="0" i="0" u="none" strike="noStrike" kern="1200" baseline="0">
                <a:solidFill>
                  <a:schemeClr val="tx1">
                    <a:lumMod val="65000"/>
                    <a:lumOff val="35000"/>
                  </a:schemeClr>
                </a:solidFill>
                <a:latin typeface="+mn-lt"/>
                <a:ea typeface="+mn-ea"/>
                <a:cs typeface="+mn-cs"/>
              </a:defRPr>
            </a:pPr>
          </a:p>
        </c:txPr>
        <c:crossAx val="478586127"/>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x-none"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x-none"/>
      </a:pPr>
    </a:p>
  </c:txPr>
  <c:externalData r:id="rId1">
    <c:autoUpdate val="0"/>
  </c:externalData>
</c:chartSpace>
</file>

<file path=word/charts/colors1.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2-08-26T23:43:53"/>
    </inkml:context>
    <inkml:brush xml:id="br0">
      <inkml:brushProperty name="width" value="0.423280388116837" units="cm"/>
      <inkml:brushProperty name="height" value="0.423280388116837" units="cm"/>
      <inkml:brushProperty name="color" value="#faf200"/>
      <inkml:brushProperty name="transparency" value="184"/>
      <inkml:brushProperty name="fitToCurve" value="1"/>
      <inkml:brushProperty name="ignorePressure" value="0"/>
    </inkml:brush>
  </inkml:definitions>
  <inkml:trace contextRef="#ctx0" brushRef="#br0">15466 377432,'110'-3,"1"0,-1 0,0 0,1-1,-1 1,0 0,1 0,-1 0,0-1,0 1,1 0,-1 0,0 0,1-1,-1 1,0 0,0 0,1 0,-1-1,0 1,1 0,-1 0,0 0,0-1,1 1,-1 0,0 0,1-1,-1 1,0 0,1 0,-1 0,0-1,0 1,1 0,-1 0,0 0,1-1,-1 1</inkml:trace>
</inkml:ink>
</file>

<file path=word/ink/ink2.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2-08-27T00:43:53"/>
    </inkml:context>
    <inkml:brush xml:id="br0">
      <inkml:brushProperty name="width" value="0.423280388116837" units="cm"/>
      <inkml:brushProperty name="height" value="0.423280388116837" units="cm"/>
      <inkml:brushProperty name="color" value="#faf200"/>
      <inkml:brushProperty name="transparency" value="184"/>
      <inkml:brushProperty name="fitToCurve" value="1"/>
      <inkml:brushProperty name="ignorePressure" value="0"/>
    </inkml:brush>
  </inkml:definitions>
  <inkml:trace contextRef="#ctx0" brushRef="#br0">27265 377279,'79'1,"1"0,-1 0,1 1,0-1,-1 0,1 1,-1-1,1 0,-1 0,1 1,-1-1,1 0,-1 1,1-1,-1 0,1 0,-1 1,1-1,-1 0,1 0,-1 1,1-1,-1 0,1 1,-1-1,1 0,-1 0,1 1,-1-1,1 0,-1 1,1-1,-1 0,1 0,-1 1,1-1,-1 0,1 1,0-1</inkml:trace>
</inkml:ink>
</file>

<file path=word/ink/ink3.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2-08-26T23:43:53"/>
    </inkml:context>
    <inkml:brush xml:id="br0">
      <inkml:brushProperty name="width" value="0.423280388116837" units="cm"/>
      <inkml:brushProperty name="height" value="0.423280388116837" units="cm"/>
      <inkml:brushProperty name="color" value="#faf200"/>
      <inkml:brushProperty name="transparency" value="184"/>
      <inkml:brushProperty name="fitToCurve" value="1"/>
      <inkml:brushProperty name="ignorePressure" value="0"/>
    </inkml:brush>
  </inkml:definitions>
  <inkml:trace contextRef="#ctx0" brushRef="#br0">34883 377279,'83'3,"-1"1,1 0,0 0,-1 0,1 0,0-1,0 1,-1 0,1 0,0 0,0 0,-1 0,1-1,0 1,-1 0,1 0,0 0,0 0,-1 0,1-1,0 1,-1 0,1 0,0 0,0 0,-1-1,1 1,0 0,-1 0,1 0,0 0,0 0,-1-1,1 1,0 0,0 0,-1 0,1 0,0-1</inkml:trace>
</inkml:ink>
</file>

<file path=word/ink/ink4.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2-08-26T22:41:18"/>
    </inkml:context>
    <inkml:brush xml:id="br0">
      <inkml:brushProperty name="width" value="0.423280417919159" units="cm"/>
      <inkml:brushProperty name="height" value="0.423280417919159" units="cm"/>
      <inkml:brushProperty name="color" value="#faf200"/>
      <inkml:brushProperty name="transparency" value="184"/>
      <inkml:brushProperty name="fitToCurve" value="1"/>
      <inkml:brushProperty name="ignorePressure" value="0"/>
    </inkml:brush>
  </inkml:definitions>
  <inkml:trace contextRef="#ctx0" brushRef="#br0">56293 644175,'265'0,"-133"0,1 0,21 0,1 0,-23 0,1 0,-23 0,1 0,87 0,1 0,0 0,-1 0,1 0,0 0,-23 0,1 0,22 0,-1 0,23 0,0 0,0 0,-1 0,23 22,0 0,0-22,0 0,22 0,0 0,44 0,0 0,-22 0,0 0,0 0,0 0,0 0,0 0,22 0,0 0,-66 0,-1 0,45 0,0 0,-44 0,0 0,0 0,0 0,-45 0,1 0,22 0,0 0,-45 0,1 0,-45 0,1 0,-23 0,0 0,-21 0,-1 0,0 0,1 0,-67 0,0 0,22 0,0 0,-22 0,0 0,0 0,0 0,1 66</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3831</Words>
  <Characters>4081</Characters>
  <Lines>0</Lines>
  <Paragraphs>0</Paragraphs>
  <TotalTime>0</TotalTime>
  <ScaleCrop>false</ScaleCrop>
  <LinksUpToDate>false</LinksUpToDate>
  <CharactersWithSpaces>4362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2022-08-29T14:11:00Z</dcterms:created>
  <dc:creator>wang的iPad</dc:creator>
  <cp:lastModifiedBy>Administrator</cp:lastModifiedBy>
  <dcterms:modified xsi:type="dcterms:W3CDTF">2022-10-17T06:21:24Z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B2D1FA692E9C344F23260A63711F016C</vt:lpwstr>
  </property>
</Properties>
</file>