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</w:rPr>
        <w:t>试论：中国“碳达峰、碳中和”形势下徐州交通运输工具电气化替换紧迫性浅析</w:t>
      </w:r>
    </w:p>
    <w:p>
      <w:pPr>
        <w:rPr>
          <w:rFonts w:hint="eastAsia"/>
          <w:sz w:val="44"/>
          <w:szCs w:val="44"/>
          <w:lang w:eastAsia="zh-CN"/>
        </w:rPr>
      </w:pPr>
    </w:p>
    <w:p>
      <w:pPr>
        <w:rPr>
          <w:rFonts w:hint="eastAsia"/>
          <w:sz w:val="44"/>
          <w:szCs w:val="44"/>
          <w:lang w:eastAsia="zh-CN"/>
        </w:rPr>
      </w:pPr>
    </w:p>
    <w:p>
      <w:pPr>
        <w:pStyle w:val="2"/>
        <w:ind w:firstLine="2891" w:firstLineChars="400"/>
      </w:pPr>
      <w:r>
        <w:rPr>
          <w:rFonts w:hint="eastAsia"/>
          <w:sz w:val="72"/>
          <w:szCs w:val="72"/>
        </w:rPr>
        <w:t>开题报告</w:t>
      </w:r>
    </w:p>
    <w:p>
      <w:pPr>
        <w:pStyle w:val="2"/>
      </w:pPr>
    </w:p>
    <w:p>
      <w:pPr>
        <w:pStyle w:val="2"/>
      </w:pPr>
    </w:p>
    <w:p>
      <w:pPr>
        <w:pStyle w:val="2"/>
        <w:rPr>
          <w:rFonts w:hint="eastAsia" w:eastAsiaTheme="majorEastAsia"/>
          <w:lang w:eastAsia="zh-CN"/>
        </w:rPr>
      </w:pPr>
    </w:p>
    <w:p>
      <w:pPr>
        <w:pStyle w:val="2"/>
      </w:pPr>
    </w:p>
    <w:p>
      <w:pPr>
        <w:rPr>
          <w:b/>
          <w:bCs/>
          <w:sz w:val="30"/>
          <w:szCs w:val="30"/>
        </w:rPr>
      </w:pPr>
    </w:p>
    <w:p>
      <w:pPr>
        <w:ind w:firstLine="1506" w:firstLineChars="500"/>
        <w:rPr>
          <w:rFonts w:hint="eastAsia" w:eastAsiaTheme="minor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主 持 人：</w:t>
      </w:r>
      <w:r>
        <w:rPr>
          <w:rFonts w:hint="eastAsia"/>
          <w:b/>
          <w:bCs/>
          <w:sz w:val="30"/>
          <w:szCs w:val="30"/>
          <w:lang w:eastAsia="zh-CN"/>
        </w:rPr>
        <w:t>王一宁</w:t>
      </w:r>
    </w:p>
    <w:p>
      <w:pPr>
        <w:ind w:left="2997" w:leftChars="710" w:hanging="1506" w:hangingChars="5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小组成员：</w:t>
      </w:r>
      <w:r>
        <w:rPr>
          <w:rFonts w:hint="eastAsia"/>
          <w:b/>
          <w:bCs/>
          <w:sz w:val="30"/>
          <w:szCs w:val="30"/>
          <w:lang w:eastAsia="zh-CN"/>
        </w:rPr>
        <w:t>许宝螺 徐瑞琦 丁玺菲 秦书琪 张馨月 贾雯捷</w:t>
      </w:r>
    </w:p>
    <w:p>
      <w:pPr>
        <w:ind w:firstLine="1506" w:firstLineChars="500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</w:rPr>
        <w:t>指导老师：</w:t>
      </w:r>
      <w:r>
        <w:rPr>
          <w:rFonts w:hint="eastAsia"/>
          <w:b/>
          <w:bCs/>
          <w:sz w:val="30"/>
          <w:szCs w:val="30"/>
          <w:lang w:eastAsia="zh-CN"/>
        </w:rPr>
        <w:t>蔡兰英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郭乐</w:t>
      </w:r>
    </w:p>
    <w:p>
      <w:pPr>
        <w:ind w:firstLine="1506" w:firstLineChars="500"/>
        <w:rPr>
          <w:rFonts w:hint="eastAsia"/>
          <w:lang w:eastAsia="zh-CN"/>
        </w:rPr>
      </w:pPr>
      <w:r>
        <w:rPr>
          <w:rFonts w:hint="eastAsia"/>
          <w:b/>
          <w:bCs/>
          <w:sz w:val="30"/>
          <w:szCs w:val="30"/>
        </w:rPr>
        <w:t>学    校：</w:t>
      </w:r>
      <w:r>
        <w:rPr>
          <w:rFonts w:hint="eastAsia"/>
          <w:b/>
          <w:bCs/>
          <w:sz w:val="30"/>
          <w:szCs w:val="30"/>
          <w:lang w:eastAsia="zh-CN"/>
        </w:rPr>
        <w:t>徐州市矿大实验学校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 xml:space="preserve"> 目录</w:t>
      </w:r>
      <w:bookmarkStart w:id="0" w:name="_GoBack"/>
      <w:bookmarkEnd w:id="0"/>
    </w:p>
    <w:p>
      <w:pPr>
        <w:numPr>
          <w:ilvl w:val="0"/>
          <w:numId w:val="0"/>
        </w:numPr>
        <w:snapToGrid/>
        <w:spacing w:line="120" w:lineRule="atLeast"/>
        <w:ind w:leftChars="0"/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  <w:t>一、课题组概况</w:t>
      </w:r>
    </w:p>
    <w:p>
      <w:pPr>
        <w:numPr>
          <w:ilvl w:val="0"/>
          <w:numId w:val="0"/>
        </w:numPr>
        <w:snapToGrid/>
        <w:spacing w:line="120" w:lineRule="atLeast"/>
        <w:ind w:leftChars="0"/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  <w:t>二、选题研究背景</w:t>
      </w:r>
    </w:p>
    <w:p>
      <w:pPr>
        <w:numPr>
          <w:ilvl w:val="0"/>
          <w:numId w:val="0"/>
        </w:numPr>
        <w:snapToGrid/>
        <w:spacing w:line="120" w:lineRule="atLeast"/>
        <w:ind w:leftChars="0"/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  <w:t>2.1 “中国“碳达峰、碳中和”形势下徐州交通运输工具电气化替换紧迫性浅析”的提出</w:t>
      </w:r>
    </w:p>
    <w:p>
      <w:pPr>
        <w:numPr>
          <w:ilvl w:val="0"/>
          <w:numId w:val="0"/>
        </w:numPr>
        <w:snapToGrid/>
        <w:spacing w:line="120" w:lineRule="atLeast"/>
        <w:ind w:leftChars="0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2.1.1 徐州概况和煤电基地简要说明</w:t>
      </w:r>
    </w:p>
    <w:p>
      <w:pPr>
        <w:numPr>
          <w:ilvl w:val="0"/>
          <w:numId w:val="0"/>
        </w:numPr>
        <w:snapToGrid/>
        <w:spacing w:line="120" w:lineRule="atLeast"/>
        <w:ind w:leftChars="0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2.1.2 双碳形势下徐州达标的选择分析</w:t>
      </w:r>
    </w:p>
    <w:p>
      <w:pPr>
        <w:numPr>
          <w:ilvl w:val="0"/>
          <w:numId w:val="0"/>
        </w:numPr>
        <w:snapToGrid/>
        <w:spacing w:line="120" w:lineRule="atLeast"/>
        <w:ind w:leftChars="0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2.1.3 交通运输工具电气化替换趋势分析</w:t>
      </w:r>
    </w:p>
    <w:p>
      <w:pPr>
        <w:numPr>
          <w:ilvl w:val="0"/>
          <w:numId w:val="0"/>
        </w:numPr>
        <w:snapToGrid/>
        <w:spacing w:line="120" w:lineRule="atLeast"/>
        <w:ind w:leftChars="0"/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  <w:t>2.2 研究内容</w:t>
      </w:r>
    </w:p>
    <w:p>
      <w:pPr>
        <w:numPr>
          <w:ilvl w:val="0"/>
          <w:numId w:val="0"/>
        </w:numPr>
        <w:snapToGrid/>
        <w:spacing w:line="120" w:lineRule="atLeast"/>
        <w:ind w:leftChars="0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2.2.1 总体分析国家新技术差异化竞争优势</w:t>
      </w:r>
    </w:p>
    <w:p>
      <w:pPr>
        <w:numPr>
          <w:ilvl w:val="0"/>
          <w:numId w:val="0"/>
        </w:numPr>
        <w:snapToGrid/>
        <w:spacing w:line="120" w:lineRule="atLeast"/>
        <w:ind w:leftChars="0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2.2.2 徐州起区域引领作用必要性和重要性</w:t>
      </w:r>
    </w:p>
    <w:p>
      <w:pPr>
        <w:numPr>
          <w:ilvl w:val="0"/>
          <w:numId w:val="0"/>
        </w:numPr>
        <w:snapToGrid/>
        <w:spacing w:line="120" w:lineRule="atLeast"/>
        <w:ind w:leftChars="0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2.2.3 提前预设的必要性和方案</w:t>
      </w:r>
    </w:p>
    <w:p>
      <w:pPr>
        <w:numPr>
          <w:ilvl w:val="0"/>
          <w:numId w:val="0"/>
        </w:numPr>
        <w:snapToGrid/>
        <w:spacing w:line="120" w:lineRule="atLeast"/>
        <w:ind w:leftChars="0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2.2.4 投资电动充电桩带来附加经济效益</w:t>
      </w:r>
    </w:p>
    <w:p>
      <w:pPr>
        <w:numPr>
          <w:ilvl w:val="0"/>
          <w:numId w:val="0"/>
        </w:numPr>
        <w:snapToGrid/>
        <w:spacing w:line="120" w:lineRule="atLeast"/>
        <w:ind w:leftChars="0"/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  <w:t>2.3 课题研究内容确定和活动小组成立</w:t>
      </w:r>
    </w:p>
    <w:p>
      <w:pPr>
        <w:numPr>
          <w:ilvl w:val="0"/>
          <w:numId w:val="1"/>
        </w:numPr>
        <w:snapToGrid/>
        <w:spacing w:line="120" w:lineRule="atLeast"/>
        <w:ind w:leftChars="0"/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  <w:t>研究目标</w:t>
      </w:r>
    </w:p>
    <w:p>
      <w:pPr>
        <w:numPr>
          <w:ilvl w:val="0"/>
          <w:numId w:val="1"/>
        </w:numPr>
        <w:snapToGrid/>
        <w:spacing w:line="120" w:lineRule="atLeast"/>
        <w:ind w:leftChars="0"/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  <w:t>研究计划和任务分工</w:t>
      </w:r>
    </w:p>
    <w:p>
      <w:pPr>
        <w:numPr>
          <w:ilvl w:val="0"/>
          <w:numId w:val="1"/>
        </w:numPr>
        <w:snapToGrid/>
        <w:spacing w:line="120" w:lineRule="atLeast"/>
        <w:ind w:leftChars="0"/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  <w:t>研究可行性分析</w:t>
      </w:r>
    </w:p>
    <w:p>
      <w:pPr>
        <w:numPr>
          <w:ilvl w:val="0"/>
          <w:numId w:val="1"/>
        </w:numPr>
        <w:snapToGrid/>
        <w:spacing w:line="120" w:lineRule="atLeast"/>
        <w:ind w:leftChars="0"/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  <w:t>预期效果</w:t>
      </w:r>
    </w:p>
    <w:p>
      <w:pPr>
        <w:numPr>
          <w:ilvl w:val="0"/>
          <w:numId w:val="1"/>
        </w:numPr>
        <w:snapToGrid/>
        <w:spacing w:line="120" w:lineRule="atLeast"/>
        <w:ind w:leftChars="0"/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  <w:t>课题研究意义</w:t>
      </w:r>
    </w:p>
    <w:p>
      <w:pPr>
        <w:numPr>
          <w:ilvl w:val="0"/>
          <w:numId w:val="0"/>
        </w:numPr>
        <w:snapToGrid/>
        <w:spacing w:line="120" w:lineRule="atLeast"/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  <w:t>一、课题组概况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（1）课题组名称：中国“碳达峰、碳中和”形势下徐州交通运输工具电气化替换紧迫性浅析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（2）学校：中国矿业大学附属中学 徐州市矿大实验学校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（3）研究时间：2022年8月上旬 至 2022年9月下旬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（4）班级：高二（5）班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（5）课题主持人：王一宁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（6）课题组成员：许宝螺 徐瑞琦 丁玺菲 秦书琪 张馨月 贾雯捷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（7）指导老师：蔡兰英 郭乐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620" w:lineRule="exact"/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  <w:t>二、选题研究背景</w:t>
      </w:r>
    </w:p>
    <w:p>
      <w:pPr>
        <w:numPr>
          <w:ilvl w:val="0"/>
          <w:numId w:val="0"/>
        </w:numPr>
        <w:snapToGrid/>
        <w:spacing w:line="620" w:lineRule="exact"/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  <w:t>2.1 “中国“碳达峰、碳中和”形势下徐州交通运输工具电气化替换紧迫性浅析”的提出</w:t>
      </w:r>
    </w:p>
    <w:p>
      <w:pPr>
        <w:numPr>
          <w:ilvl w:val="0"/>
          <w:numId w:val="0"/>
        </w:numPr>
        <w:snapToGrid/>
        <w:spacing w:line="620" w:lineRule="exact"/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  <w:t xml:space="preserve">2.1.1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/>
          <w:vertAlign w:val="baseline"/>
          <w:lang w:eastAsia="zh-CN"/>
        </w:rPr>
        <w:t>徐州概况和煤电基地简要说明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（1）徐州概况： 徐州地处华北平原东南部，江苏省西北部总面积约11258平方千米。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（2）煤电基地：徐州是淮海经济圈中心，是历史上形成的老牌工业城市，担当引领区域工业发展、产业转型升级重任。作为能源大市，徐州担任江苏省供电“主力军”一职，也作为中心煤电基地为全省提供大量电力能源。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  <w:t>2.1.2 双碳形势下徐州达标的选择分析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由于“煤电基地”这一前提，徐州产出能源去向复杂，大半都要供给外市。同时，由于“调峰”这一功能，不难发现在生产端，徐州无法做到大幅降低石油燃烧量响应国家政策，在这一情况下，徐州比其他城市更迫切的需要转型升级，在能源使用端减少碳排放量，即为了达标，徐州更迫切的需要普及新能源的使用。</w:t>
      </w:r>
      <w:r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  <w:t xml:space="preserve">  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  <w:t>2.1.3 交通运输工具电气化替换趋势分析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从出现网线，到汽油发动汽车，再到处蓄电池应用在发动，每一步都是划出了一个时代。接下来随着能源枯竭、环境恶化，新能源驱动、驾驶趋近零污染则成为必然趋势。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  <w:t>2.2 研究内容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  <w:t>2.2.1 总体分析国家新技术差异化竞争优势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我国汽车零部件的精加工远不如老牌发达国家，难度大且无须要跟着他国的汽车发展途径。而当前形势下，“弯道超车”则是我国走在技术前列的最佳选择，产生差异化竞争优势，是我国抢占国际市场、提升国际地位的绝好机会。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  <w:t>2.2.2 徐州起引领作用必要性和重要性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（1）必要性：徐州处于淮海经济圈中心，处于南北地界交界处，在新能源形势下，徐州必须走在发展前列，行起带动周边城市发展的责任。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（2）重要性：徐州要牢牢抓住这一机遇响应号召，提升城市地位。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  <w:t>2.2.3 提前预设的必要性和方案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通过学习其他城市的措施，可以发现实施全面推进这项工作需要预设，包括：政府大力宣传、发放补贴、建设充电桩等。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  <w:t>2.2.4 投资电动充电桩带来附加经济效益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通过调查数据发现，投资充电桩这类基础设施的建设，可以增加不小的经济效益，从而附加起到带动城市经济发展的作用。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460" w:lineRule="exact"/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  <w:t>2.3 课题研究内容确立和研究小组成立</w:t>
      </w:r>
    </w:p>
    <w:p>
      <w:pPr>
        <w:numPr>
          <w:ilvl w:val="0"/>
          <w:numId w:val="0"/>
        </w:numPr>
        <w:snapToGrid/>
        <w:spacing w:line="46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 xml:space="preserve">   2022年11月开始，应教育组的号召，同学自发组成问题研究小组，本着“从小处切口”的原则，小组内部成员结合社会时事，讨论确定通过“中国双碳形势下徐州交通运输工具的新能源普及”这一研究方向，在主持人的引导下，全体小组成员共同讨论，最终确定实践活动的课题名称为“中国“碳达峰、碳中和”形势下徐州交通运输工具电气化替换紧迫性浅析”，预计研究时间范围是2022年11月——2023年1月。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  <w:t>三、研究框架</w:t>
      </w:r>
    </w:p>
    <w:p>
      <w:pPr>
        <w:numPr>
          <w:ilvl w:val="0"/>
          <w:numId w:val="0"/>
        </w:numPr>
        <w:snapToGrid/>
        <w:spacing w:line="460" w:lineRule="exact"/>
        <w:rPr>
          <w:rFonts w:hint="eastAsia" w:ascii="黑体" w:hAnsi="黑体" w:eastAsia="黑体" w:cs="黑体"/>
          <w:sz w:val="28"/>
          <w:szCs w:val="28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46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我们组的成员在学习环境、资源的知识时对当前解决全球性资源转化升级、资源利用新形势产生兴趣并进行研究讨论。在研究过程中发现徐州资源丰富，但新型清洁能源（如：风能、太阳能）并没有充分利用，但由于资源供给端过于复杂，我们组把方向转移到资源使用端——交通运输工具转型升级，通过带头普及新能源使用，弥补资源供给端基于调峰而无法降低的碳排放量，同时达到提升城市地位，提高城市素养和城市承载度的目的，为徐州缓解工业压力、工业转型升级提供了一定意义上的参考价值。</w:t>
      </w:r>
    </w:p>
    <w:p>
      <w:pPr>
        <w:numPr>
          <w:ilvl w:val="0"/>
          <w:numId w:val="0"/>
        </w:numPr>
        <w:snapToGrid/>
        <w:spacing w:line="46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360" w:lineRule="exact"/>
        <w:rPr>
          <w:rFonts w:hint="eastAsia" w:ascii="楷体" w:hAnsi="楷体" w:eastAsia="楷体" w:cs="楷体"/>
          <w:sz w:val="32"/>
          <w:szCs w:val="32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  <w:t>四、研究过程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</w:pPr>
    </w:p>
    <w:tbl>
      <w:tblPr>
        <w:tblStyle w:val="6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7"/>
        <w:gridCol w:w="2528"/>
        <w:gridCol w:w="2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3967" w:type="dxa"/>
            <w:tcBorders>
              <w:top w:val="single" w:color="000000" w:sz="4" w:space="0"/>
              <w:left w:val="single" w:color="000000" w:sz="4" w:space="0"/>
              <w:bottom w:val="single" w:color="auto" w:sz="0" w:space="0"/>
              <w:right w:val="single" w:color="auto" w:sz="0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/>
              <w:spacing w:line="480" w:lineRule="exact"/>
              <w:jc w:val="center"/>
              <w:rPr>
                <w:rFonts w:hint="eastAsia" w:ascii="楷体" w:hAnsi="楷体" w:eastAsia="楷体" w:cs="楷体"/>
                <w:color w:val="000000"/>
                <w:sz w:val="36"/>
                <w:szCs w:val="36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6"/>
                <w:szCs w:val="36"/>
                <w:u w:val="none"/>
                <w:vertAlign w:val="baseline"/>
                <w:lang w:eastAsia="zh-CN"/>
              </w:rPr>
              <w:t>阶段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/>
              <w:spacing w:line="480" w:lineRule="exact"/>
              <w:jc w:val="center"/>
              <w:rPr>
                <w:rFonts w:hint="eastAsia" w:ascii="黑体" w:hAnsi="黑体" w:eastAsia="黑体" w:cs="黑体"/>
                <w:color w:val="000000"/>
                <w:sz w:val="44"/>
                <w:szCs w:val="44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6"/>
                <w:szCs w:val="36"/>
                <w:u w:val="none"/>
                <w:vertAlign w:val="baseline"/>
                <w:lang w:eastAsia="zh-CN"/>
              </w:rPr>
              <w:t>负责成员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auto" w:sz="0" w:space="0"/>
              <w:bottom w:val="single" w:color="auto" w:sz="0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napToGrid/>
              <w:spacing w:line="480" w:lineRule="exact"/>
              <w:jc w:val="center"/>
              <w:rPr>
                <w:rFonts w:hint="eastAsia" w:ascii="黑体" w:hAnsi="黑体" w:eastAsia="黑体" w:cs="黑体"/>
                <w:color w:val="000000"/>
                <w:sz w:val="44"/>
                <w:szCs w:val="44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6"/>
                <w:szCs w:val="36"/>
                <w:u w:val="none"/>
                <w:vertAlign w:val="baseline"/>
                <w:lang w:eastAsia="zh-CN"/>
              </w:rPr>
              <w:t>研究方式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3967" w:type="dxa"/>
            <w:tcBorders>
              <w:top w:val="single" w:color="auto" w:sz="0" w:space="0"/>
              <w:left w:val="single" w:color="000000" w:sz="4" w:space="0"/>
              <w:bottom w:val="single" w:color="auto" w:sz="0" w:space="0"/>
              <w:right w:val="single" w:color="auto" w:sz="0" w:space="0"/>
            </w:tcBorders>
            <w:shd w:val="clear" w:color="auto" w:fill="FFFFFF"/>
          </w:tcPr>
          <w:p>
            <w:pPr>
              <w:numPr>
                <w:ilvl w:val="0"/>
                <w:numId w:val="0"/>
              </w:numPr>
              <w:snapToGrid/>
              <w:spacing w:line="240" w:lineRule="atLeas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第一阶段</w:t>
            </w:r>
          </w:p>
          <w:p>
            <w:pPr>
              <w:numPr>
                <w:ilvl w:val="0"/>
                <w:numId w:val="0"/>
              </w:numPr>
              <w:snapToGrid w:val="0"/>
              <w:spacing w:line="240" w:lineRule="auto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确定课题研究内容，组建实验活动小组，制定研究计划，编写开题报告</w:t>
            </w:r>
          </w:p>
        </w:tc>
        <w:tc>
          <w:tcPr>
            <w:tcW w:w="2528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shd w:val="clear" w:color="auto" w:fill="FFFFFF"/>
          </w:tcPr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参考指导老师的建议，小组各成员全员参与激烈讨论思考，由王一宁执笔</w:t>
            </w:r>
          </w:p>
        </w:tc>
        <w:tc>
          <w:tcPr>
            <w:tcW w:w="2023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000000" w:sz="4" w:space="0"/>
            </w:tcBorders>
            <w:shd w:val="clear" w:color="auto" w:fill="FFFFFF"/>
          </w:tcPr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大量查阅文件资料数据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讨论研究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  <w:jc w:val="center"/>
        </w:trPr>
        <w:tc>
          <w:tcPr>
            <w:tcW w:w="3967" w:type="dxa"/>
            <w:tcBorders>
              <w:top w:val="single" w:color="auto" w:sz="0" w:space="0"/>
              <w:left w:val="single" w:color="000000" w:sz="4" w:space="0"/>
              <w:bottom w:val="single" w:color="auto" w:sz="0" w:space="0"/>
              <w:right w:val="single" w:color="auto" w:sz="0" w:space="0"/>
            </w:tcBorders>
            <w:shd w:val="clear" w:color="auto" w:fill="FFFFFF"/>
          </w:tcPr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第二阶段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相关资料查阅学习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徐州地区能源情况，年输电量用电量，徐州政府发布文件，其他城市先行推行采取措施</w:t>
            </w:r>
          </w:p>
        </w:tc>
        <w:tc>
          <w:tcPr>
            <w:tcW w:w="2528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shd w:val="clear" w:color="auto" w:fill="FFFFFF"/>
          </w:tcPr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由王一宁、贾雯捷进行提前设计，张馨月、秦书琪搜查资料</w:t>
            </w:r>
          </w:p>
        </w:tc>
        <w:tc>
          <w:tcPr>
            <w:tcW w:w="2023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000000" w:sz="4" w:space="0"/>
            </w:tcBorders>
            <w:shd w:val="clear" w:color="auto" w:fill="FFFFFF"/>
          </w:tcPr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查阅资料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求同存异、各抒己见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归纳总结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3967" w:type="dxa"/>
            <w:tcBorders>
              <w:top w:val="single" w:color="auto" w:sz="0" w:space="0"/>
              <w:left w:val="single" w:color="000000" w:sz="4" w:space="0"/>
              <w:bottom w:val="single" w:color="auto" w:sz="0" w:space="0"/>
              <w:right w:val="single" w:color="auto" w:sz="0" w:space="0"/>
            </w:tcBorders>
            <w:shd w:val="clear" w:color="auto" w:fill="FFFFFF"/>
          </w:tcPr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第三阶段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1.调查国家层面相关文件和要求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2.调查徐州基础能源使用数据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3.调查各类汽油车种淘汰的时限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4.调查各个城市关于新能源车辆上牌照、政府相关措施，为徐州提供借鉴先例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5.调查充电桩这一重要基础设施的投资建设数据</w:t>
            </w:r>
          </w:p>
        </w:tc>
        <w:tc>
          <w:tcPr>
            <w:tcW w:w="2528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shd w:val="clear" w:color="auto" w:fill="FFFFFF"/>
          </w:tcPr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1:王一宁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2.王一宁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3.丁玺菲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4.张馨月、贾雯捷、秦书琪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5.徐瑞琦、许宝螺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小组全体成员共同搜查资料，由主持人汇总</w:t>
            </w:r>
          </w:p>
        </w:tc>
        <w:tc>
          <w:tcPr>
            <w:tcW w:w="2023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000000" w:sz="4" w:space="0"/>
            </w:tcBorders>
            <w:shd w:val="clear" w:color="auto" w:fill="FFFFFF"/>
          </w:tcPr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分工处理➕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归纳总结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3" w:hRule="atLeast"/>
          <w:jc w:val="center"/>
        </w:trPr>
        <w:tc>
          <w:tcPr>
            <w:tcW w:w="3967" w:type="dxa"/>
            <w:tcBorders>
              <w:top w:val="single" w:color="auto" w:sz="0" w:space="0"/>
              <w:left w:val="single" w:color="000000" w:sz="4" w:space="0"/>
              <w:bottom w:val="single" w:color="auto" w:sz="0" w:space="0"/>
              <w:right w:val="single" w:color="auto" w:sz="0" w:space="0"/>
            </w:tcBorders>
            <w:shd w:val="clear" w:color="auto" w:fill="FFFFFF"/>
          </w:tcPr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第四阶段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汇总思路，收纳整理数据，实践活动总结和结题报告的撰写</w:t>
            </w:r>
          </w:p>
        </w:tc>
        <w:tc>
          <w:tcPr>
            <w:tcW w:w="2528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shd w:val="clear" w:color="auto" w:fill="FFFFFF"/>
          </w:tcPr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结题报告撰写：王一宁</w:t>
            </w:r>
          </w:p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结题材料整理：全体成员参与</w:t>
            </w:r>
          </w:p>
        </w:tc>
        <w:tc>
          <w:tcPr>
            <w:tcW w:w="2023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000000" w:sz="4" w:space="0"/>
            </w:tcBorders>
            <w:shd w:val="clear" w:color="auto" w:fill="FFFFFF"/>
          </w:tcPr>
          <w:p>
            <w:pPr>
              <w:numPr>
                <w:ilvl w:val="0"/>
                <w:numId w:val="0"/>
              </w:numPr>
              <w:snapToGrid/>
              <w:spacing w:line="48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归纳总结</w:t>
            </w:r>
          </w:p>
        </w:tc>
      </w:tr>
    </w:tbl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360" w:lineRule="exact"/>
        <w:rPr>
          <w:rFonts w:hint="eastAsia" w:ascii="黑体" w:hAnsi="黑体" w:eastAsia="黑体" w:cs="黑体"/>
          <w:sz w:val="32"/>
          <w:szCs w:val="32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360" w:lineRule="exact"/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  <w:t>五、研究可行性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（1）本课题活动所有的资料皆来源于国家政府发布的文件，各研究院公布的数据，真实且所需数据充分。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（2）本小组成员对此课题研究问题高度重视，有创新能力，爱积极思考，做事仔细认真实事求是。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（3）此问题为社会热点话题，有关国情、切合实际，有研究学习的必要和意义。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  <w:t>六、研究意义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丰富热点话题的认知度，多角度知识融会贯通丰富学习经验和扩展知识面，有利于提高思辨能力，从大的层面出发、从小的角度切入考虑问题。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</w:p>
    <w:p>
      <w:pPr>
        <w:numPr>
          <w:ilvl w:val="0"/>
          <w:numId w:val="0"/>
        </w:numPr>
        <w:snapToGrid/>
        <w:spacing w:line="480" w:lineRule="exact"/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u w:val="none"/>
          <w:vertAlign w:val="baseline"/>
          <w:lang w:eastAsia="zh-CN"/>
        </w:rPr>
        <w:t>七、预期效果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1.各成员通过课题研究性学习，对国情对政策对社会环境有更深的认识，了解更广泛的知识，如地球自然环境问题、全球政策、国家发电结构等。同时组员更能理解分工合作的意义以及体会到知识探索的妙处。</w:t>
      </w:r>
    </w:p>
    <w:p>
      <w:pPr>
        <w:numPr>
          <w:ilvl w:val="0"/>
          <w:numId w:val="0"/>
        </w:numPr>
        <w:snapToGrid/>
        <w:spacing w:line="480" w:lineRule="exact"/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vertAlign w:val="baseline"/>
          <w:lang w:eastAsia="zh-CN"/>
        </w:rPr>
        <w:t>2.通过大量查找数据来反馈一些学习成果，同时表达一些体验感悟，做出来的成果有参考借鉴意义和价值。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99910"/>
    <w:multiLevelType w:val="singleLevel"/>
    <w:tmpl w:val="63099910"/>
    <w:lvl w:ilvl="0" w:tentative="0">
      <w:start w:val="3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00000000"/>
    <w:rsid w:val="422A79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center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2441</Words>
  <Characters>2545</Characters>
  <Lines>0</Lines>
  <Paragraphs>0</Paragraphs>
  <TotalTime>2</TotalTime>
  <ScaleCrop>false</ScaleCrop>
  <LinksUpToDate>false</LinksUpToDate>
  <CharactersWithSpaces>2606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2022-08-29T18:51:00Z</dcterms:created>
  <dc:creator>wang的iPad</dc:creator>
  <cp:lastModifiedBy>Administrator</cp:lastModifiedBy>
  <dcterms:modified xsi:type="dcterms:W3CDTF">2022-10-17T06:21:00Z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62AE0D344D7ECE97A7860963A5CB4C35</vt:lpwstr>
  </property>
</Properties>
</file>