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2213C3E">
      <w:pPr>
        <w:ind w:firstLine="1921" w:firstLineChars="400"/>
        <w:jc w:val="both"/>
        <w:rPr>
          <w:rFonts w:hint="default" w:eastAsiaTheme="minorEastAsia"/>
          <w:b/>
          <w:sz w:val="48"/>
          <w:szCs w:val="48"/>
          <w:lang w:val="en-US" w:eastAsia="zh-CN"/>
        </w:rPr>
      </w:pPr>
      <w:bookmarkStart w:id="2" w:name="_GoBack"/>
      <w:bookmarkEnd w:id="2"/>
      <w:bookmarkStart w:id="0" w:name="_Hlk37088677"/>
      <w:bookmarkEnd w:id="0"/>
      <w:r>
        <w:rPr>
          <w:rFonts w:hint="eastAsia"/>
          <w:b/>
          <w:sz w:val="48"/>
          <w:szCs w:val="48"/>
          <w:lang w:val="en-US" w:eastAsia="zh-CN"/>
        </w:rPr>
        <w:t>《马列维奇与数学》</w:t>
      </w:r>
    </w:p>
    <w:p w14:paraId="2E2000E5">
      <w:pPr>
        <w:ind w:left="420" w:hanging="420"/>
        <w:jc w:val="center"/>
        <w:rPr>
          <w:rFonts w:ascii="宋体" w:hAnsi="宋体" w:eastAsia="宋体"/>
          <w:b/>
          <w:sz w:val="44"/>
          <w:szCs w:val="44"/>
        </w:rPr>
      </w:pPr>
      <w:r>
        <w:rPr>
          <w:rFonts w:hint="eastAsia" w:ascii="宋体" w:hAnsi="宋体" w:eastAsia="宋体"/>
          <w:b/>
          <w:sz w:val="44"/>
          <w:szCs w:val="44"/>
        </w:rPr>
        <w:t>结题报告</w:t>
      </w:r>
    </w:p>
    <w:p w14:paraId="746F0173">
      <w:pPr>
        <w:rPr>
          <w:sz w:val="30"/>
          <w:szCs w:val="30"/>
        </w:rPr>
      </w:pPr>
      <w:r>
        <w:rPr>
          <w:rFonts w:hint="eastAsia"/>
          <w:sz w:val="30"/>
          <w:szCs w:val="30"/>
        </w:rPr>
        <w:t>学校：中国矿业大学附属中学</w:t>
      </w:r>
    </w:p>
    <w:p w14:paraId="630A1F95">
      <w:pPr>
        <w:rPr>
          <w:sz w:val="30"/>
          <w:szCs w:val="30"/>
        </w:rPr>
      </w:pPr>
      <w:r>
        <w:rPr>
          <w:rFonts w:hint="eastAsia"/>
          <w:sz w:val="30"/>
          <w:szCs w:val="30"/>
        </w:rPr>
        <w:t>研究时间：</w:t>
      </w:r>
      <w:r>
        <w:rPr>
          <w:sz w:val="30"/>
          <w:szCs w:val="30"/>
        </w:rPr>
        <w:t>20</w:t>
      </w:r>
      <w:r>
        <w:rPr>
          <w:rFonts w:hint="eastAsia"/>
          <w:sz w:val="30"/>
          <w:szCs w:val="30"/>
        </w:rPr>
        <w:t>2</w:t>
      </w:r>
      <w:r>
        <w:rPr>
          <w:rFonts w:hint="eastAsia"/>
          <w:sz w:val="30"/>
          <w:szCs w:val="30"/>
          <w:lang w:val="en-US" w:eastAsia="zh-CN"/>
        </w:rPr>
        <w:t>5</w:t>
      </w:r>
      <w:r>
        <w:rPr>
          <w:rFonts w:hint="eastAsia"/>
          <w:sz w:val="30"/>
          <w:szCs w:val="30"/>
        </w:rPr>
        <w:t>年</w:t>
      </w:r>
      <w:r>
        <w:rPr>
          <w:rFonts w:hint="eastAsia"/>
          <w:sz w:val="30"/>
          <w:szCs w:val="30"/>
          <w:lang w:val="en-US" w:eastAsia="zh-CN"/>
        </w:rPr>
        <w:t>7</w:t>
      </w:r>
      <w:r>
        <w:rPr>
          <w:rFonts w:hint="eastAsia"/>
          <w:sz w:val="30"/>
          <w:szCs w:val="30"/>
        </w:rPr>
        <w:t>月至202</w:t>
      </w:r>
      <w:r>
        <w:rPr>
          <w:rFonts w:hint="eastAsia"/>
          <w:sz w:val="30"/>
          <w:szCs w:val="30"/>
          <w:lang w:val="en-US" w:eastAsia="zh-CN"/>
        </w:rPr>
        <w:t>5</w:t>
      </w:r>
      <w:r>
        <w:rPr>
          <w:rFonts w:hint="eastAsia"/>
          <w:sz w:val="30"/>
          <w:szCs w:val="30"/>
        </w:rPr>
        <w:t>年</w:t>
      </w:r>
      <w:r>
        <w:rPr>
          <w:rFonts w:hint="eastAsia"/>
          <w:sz w:val="30"/>
          <w:szCs w:val="30"/>
          <w:lang w:val="en-US" w:eastAsia="zh-CN"/>
        </w:rPr>
        <w:t>8</w:t>
      </w:r>
      <w:r>
        <w:rPr>
          <w:rFonts w:hint="eastAsia"/>
          <w:sz w:val="30"/>
          <w:szCs w:val="30"/>
        </w:rPr>
        <w:t>月</w:t>
      </w:r>
    </w:p>
    <w:p w14:paraId="29F0FEF6">
      <w:pPr>
        <w:rPr>
          <w:sz w:val="30"/>
          <w:szCs w:val="30"/>
        </w:rPr>
      </w:pPr>
      <w:r>
        <w:rPr>
          <w:rFonts w:hint="eastAsia"/>
          <w:sz w:val="30"/>
          <w:szCs w:val="30"/>
        </w:rPr>
        <w:t>班级：初二（</w:t>
      </w:r>
      <w:r>
        <w:rPr>
          <w:rFonts w:hint="eastAsia"/>
          <w:sz w:val="30"/>
          <w:szCs w:val="30"/>
          <w:lang w:val="en-US" w:eastAsia="zh-CN"/>
        </w:rPr>
        <w:t>2</w:t>
      </w:r>
      <w:r>
        <w:rPr>
          <w:rFonts w:hint="eastAsia"/>
          <w:sz w:val="30"/>
          <w:szCs w:val="30"/>
        </w:rPr>
        <w:t>）班</w:t>
      </w:r>
    </w:p>
    <w:p w14:paraId="5DDC772F">
      <w:pPr>
        <w:rPr>
          <w:rFonts w:hint="eastAsia" w:eastAsiaTheme="minorEastAsia"/>
          <w:sz w:val="30"/>
          <w:szCs w:val="30"/>
          <w:lang w:eastAsia="zh-CN"/>
        </w:rPr>
      </w:pPr>
      <w:r>
        <w:rPr>
          <w:rFonts w:hint="eastAsia"/>
          <w:sz w:val="30"/>
          <w:szCs w:val="30"/>
        </w:rPr>
        <w:t>课题组成员：</w:t>
      </w:r>
      <w:r>
        <w:rPr>
          <w:rFonts w:hint="eastAsia"/>
          <w:sz w:val="30"/>
          <w:szCs w:val="30"/>
          <w:lang w:val="en-US" w:eastAsia="zh-CN"/>
        </w:rPr>
        <w:t xml:space="preserve">刘子墨 </w:t>
      </w:r>
    </w:p>
    <w:p w14:paraId="187899C0">
      <w:pPr>
        <w:rPr>
          <w:sz w:val="30"/>
          <w:szCs w:val="30"/>
        </w:rPr>
      </w:pPr>
      <w:r>
        <w:rPr>
          <w:rFonts w:hint="eastAsia"/>
          <w:sz w:val="30"/>
          <w:szCs w:val="30"/>
        </w:rPr>
        <w:t>指导老师：崔金环</w:t>
      </w:r>
    </w:p>
    <w:p w14:paraId="3EBF37DB">
      <w:pPr>
        <w:numPr>
          <w:ilvl w:val="0"/>
          <w:numId w:val="1"/>
        </w:numPr>
        <w:rPr>
          <w:rFonts w:hint="eastAsia"/>
          <w:b/>
          <w:sz w:val="36"/>
          <w:szCs w:val="36"/>
        </w:rPr>
      </w:pPr>
      <w:r>
        <w:rPr>
          <w:rFonts w:hint="eastAsia"/>
          <w:b/>
          <w:sz w:val="36"/>
          <w:szCs w:val="36"/>
        </w:rPr>
        <w:t>课题提出背景说明：</w:t>
      </w:r>
    </w:p>
    <w:p w14:paraId="4EB4C33D">
      <w:pPr>
        <w:ind w:firstLine="560" w:firstLineChars="20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在美术课上，老师向我展示了各种现代艺术流派。其中，一位名叫卡西米尔·马列维奇的艺术家和他的作品《黑方块》给我们留下了极其深刻的印象——这不就是一个黑色的正方形吗？这也能叫艺术？</w:t>
      </w:r>
    </w:p>
    <w:p w14:paraId="50DADEA4">
      <w:pPr>
        <w:ind w:firstLine="560" w:firstLineChars="20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带着这个疑问，我开始了探索。我了解到，马列维奇是上世纪初一位俄罗斯艺术家，他创立了一种叫做“至上主义”的艺术流派。他认为，艺术不应该只是模仿自然，而应该追求一种“纯粹的感觉”。于是，他抛弃了具体的大山、树木和人像，转而使用最纯粹的几何图形（如方形、圆形、线条）和简单的颜色来进行创作。</w:t>
      </w:r>
    </w:p>
    <w:p w14:paraId="3FAC78D8">
      <w:pPr>
        <w:ind w:firstLine="560" w:firstLineChars="20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与此同时，在数学课上，我们正在学习平面几何。我突然发现，马列维奇画里数学家看待这些图形的方式有什么不同？这些看似简单的画背后，是否隐藏着数学的奥秘？</w:t>
      </w:r>
    </w:p>
    <w:p w14:paraId="22FAA4D5"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这引发了我的研究兴趣：艺术家是如何运用数学图形进行创作的？从数学角度看，这些画作有什么特别之处？</w:t>
      </w:r>
    </w:p>
    <w:p w14:paraId="6DF25555">
      <w:pPr>
        <w:numPr>
          <w:ilvl w:val="0"/>
          <w:numId w:val="1"/>
        </w:numPr>
        <w:ind w:left="0" w:leftChars="0" w:firstLine="0" w:firstLineChars="0"/>
        <w:rPr>
          <w:rFonts w:hint="eastAsia"/>
          <w:sz w:val="28"/>
          <w:szCs w:val="28"/>
        </w:rPr>
      </w:pPr>
      <w:r>
        <w:rPr>
          <w:rFonts w:hint="eastAsia"/>
          <w:b/>
          <w:sz w:val="36"/>
          <w:szCs w:val="36"/>
        </w:rPr>
        <w:t>任务分工</w:t>
      </w:r>
      <w:r>
        <w:rPr>
          <w:rFonts w:hint="eastAsia"/>
          <w:sz w:val="32"/>
          <w:szCs w:val="32"/>
        </w:rPr>
        <w:t xml:space="preserve"> </w:t>
      </w:r>
      <w:r>
        <w:rPr>
          <w:rFonts w:hint="eastAsia"/>
          <w:sz w:val="32"/>
          <w:szCs w:val="32"/>
          <w:lang w:val="en-US" w:eastAsia="zh-CN"/>
        </w:rPr>
        <w:t xml:space="preserve"> </w:t>
      </w:r>
    </w:p>
    <w:p w14:paraId="40F89160">
      <w:pPr>
        <w:numPr>
          <w:numId w:val="0"/>
        </w:numPr>
        <w:ind w:leftChars="0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1.</w:t>
      </w:r>
      <w:r>
        <w:rPr>
          <w:rFonts w:hint="eastAsia"/>
          <w:b/>
          <w:bCs/>
          <w:sz w:val="28"/>
          <w:szCs w:val="28"/>
          <w:lang w:val="en-US" w:eastAsia="zh-CN"/>
        </w:rPr>
        <w:t>资料收集与整理：</w:t>
      </w:r>
      <w:r>
        <w:rPr>
          <w:rFonts w:hint="eastAsia"/>
          <w:sz w:val="28"/>
          <w:szCs w:val="28"/>
        </w:rPr>
        <w:t xml:space="preserve"> 上网、去图书馆查找马列维奇的生平介绍、代表作图片和艺术观点。整理出需要研究的核心作品清单。</w:t>
      </w:r>
    </w:p>
    <w:p w14:paraId="4C3BFC1C"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2.</w:t>
      </w:r>
      <w:r>
        <w:rPr>
          <w:rFonts w:hint="eastAsia"/>
          <w:b/>
          <w:bCs/>
          <w:sz w:val="28"/>
          <w:szCs w:val="28"/>
        </w:rPr>
        <w:t>数学角度分析</w:t>
      </w:r>
      <w:r>
        <w:rPr>
          <w:rFonts w:hint="eastAsia"/>
          <w:b/>
          <w:bCs/>
          <w:sz w:val="28"/>
          <w:szCs w:val="28"/>
          <w:lang w:eastAsia="zh-CN"/>
        </w:rPr>
        <w:t>：</w:t>
      </w:r>
      <w:r>
        <w:rPr>
          <w:rFonts w:hint="eastAsia"/>
          <w:sz w:val="28"/>
          <w:szCs w:val="28"/>
        </w:rPr>
        <w:t xml:space="preserve"> 用数学知识（如轴对称、中心对称、黄金分割、比例尺测量）分析马列维奇的作品，并绘制分析图。</w:t>
      </w:r>
    </w:p>
    <w:p w14:paraId="49AE470B">
      <w:pPr>
        <w:rPr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3.</w:t>
      </w:r>
      <w:r>
        <w:rPr>
          <w:rFonts w:hint="eastAsia"/>
          <w:b/>
          <w:bCs/>
          <w:sz w:val="28"/>
          <w:szCs w:val="28"/>
        </w:rPr>
        <w:t>报告撰写与美化</w:t>
      </w:r>
      <w:r>
        <w:rPr>
          <w:rFonts w:hint="eastAsia"/>
          <w:b/>
          <w:bCs/>
          <w:sz w:val="28"/>
          <w:szCs w:val="28"/>
          <w:lang w:eastAsia="zh-CN"/>
        </w:rPr>
        <w:t>：</w:t>
      </w:r>
      <w:r>
        <w:rPr>
          <w:rFonts w:hint="eastAsia"/>
          <w:sz w:val="28"/>
          <w:szCs w:val="28"/>
        </w:rPr>
        <w:t xml:space="preserve"> 将发现汇总，撰写研究报告，并设计PPT、排版和添加图片，让成果展示更美观。</w:t>
      </w:r>
    </w:p>
    <w:p w14:paraId="55E1661F">
      <w:pPr>
        <w:rPr>
          <w:rFonts w:hint="eastAsia"/>
          <w:sz w:val="28"/>
          <w:szCs w:val="28"/>
        </w:rPr>
      </w:pPr>
      <w:r>
        <w:rPr>
          <w:rFonts w:hint="eastAsia"/>
          <w:b/>
          <w:sz w:val="36"/>
          <w:szCs w:val="36"/>
        </w:rPr>
        <w:t>三、计划阶段</w:t>
      </w:r>
      <w:r>
        <w:rPr>
          <w:rFonts w:hint="eastAsia"/>
          <w:sz w:val="28"/>
          <w:szCs w:val="28"/>
        </w:rPr>
        <w:t xml:space="preserve"> </w:t>
      </w:r>
    </w:p>
    <w:p w14:paraId="65C0F15F">
      <w:pPr>
        <w:rPr>
          <w:rFonts w:hint="eastAsia"/>
          <w:b/>
          <w:bCs/>
          <w:sz w:val="30"/>
          <w:szCs w:val="30"/>
          <w:lang w:val="en-US" w:eastAsia="zh-CN"/>
        </w:rPr>
      </w:pPr>
      <w:r>
        <w:rPr>
          <w:rFonts w:hint="eastAsia"/>
          <w:b/>
          <w:bCs/>
          <w:sz w:val="30"/>
          <w:szCs w:val="30"/>
        </w:rPr>
        <w:t>活动第一阶段：202</w:t>
      </w:r>
      <w:r>
        <w:rPr>
          <w:rFonts w:hint="eastAsia"/>
          <w:b/>
          <w:bCs/>
          <w:sz w:val="30"/>
          <w:szCs w:val="30"/>
          <w:lang w:val="en-US" w:eastAsia="zh-CN"/>
        </w:rPr>
        <w:t>5</w:t>
      </w:r>
      <w:r>
        <w:rPr>
          <w:rFonts w:hint="eastAsia"/>
          <w:b/>
          <w:bCs/>
          <w:sz w:val="30"/>
          <w:szCs w:val="30"/>
        </w:rPr>
        <w:t>年</w:t>
      </w:r>
      <w:r>
        <w:rPr>
          <w:rFonts w:hint="eastAsia"/>
          <w:b/>
          <w:bCs/>
          <w:sz w:val="30"/>
          <w:szCs w:val="30"/>
          <w:lang w:val="en-US" w:eastAsia="zh-CN"/>
        </w:rPr>
        <w:t>7</w:t>
      </w:r>
      <w:r>
        <w:rPr>
          <w:rFonts w:hint="eastAsia"/>
          <w:b/>
          <w:bCs/>
          <w:sz w:val="30"/>
          <w:szCs w:val="30"/>
        </w:rPr>
        <w:t>月</w:t>
      </w:r>
      <w:r>
        <w:rPr>
          <w:rFonts w:hint="eastAsia"/>
          <w:b/>
          <w:bCs/>
          <w:sz w:val="30"/>
          <w:szCs w:val="30"/>
          <w:lang w:val="en-US" w:eastAsia="zh-CN"/>
        </w:rPr>
        <w:t>10日</w:t>
      </w:r>
    </w:p>
    <w:p w14:paraId="755C4D62">
      <w:pPr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>（1）确定课题</w:t>
      </w:r>
      <w:r>
        <w:rPr>
          <w:rFonts w:hint="eastAsia"/>
          <w:sz w:val="28"/>
          <w:szCs w:val="28"/>
          <w:lang w:eastAsia="zh-CN"/>
        </w:rPr>
        <w:t>：</w:t>
      </w:r>
      <w:r>
        <w:rPr>
          <w:rFonts w:hint="eastAsia"/>
          <w:sz w:val="28"/>
          <w:szCs w:val="28"/>
          <w:lang w:val="en-US" w:eastAsia="zh-CN"/>
        </w:rPr>
        <w:t>马列维奇与数学</w:t>
      </w:r>
    </w:p>
    <w:p w14:paraId="24FDF823">
      <w:pPr>
        <w:ind w:left="1120" w:hanging="1120" w:hangingChars="40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  <w:lang w:val="en-US" w:eastAsia="zh-CN"/>
        </w:rPr>
        <w:t>2</w:t>
      </w:r>
      <w:r>
        <w:rPr>
          <w:rFonts w:hint="eastAsia"/>
          <w:sz w:val="28"/>
          <w:szCs w:val="28"/>
        </w:rPr>
        <w:t>）收集资料</w:t>
      </w:r>
      <w:r>
        <w:rPr>
          <w:rFonts w:hint="eastAsia"/>
          <w:sz w:val="28"/>
          <w:szCs w:val="28"/>
          <w:lang w:eastAsia="zh-CN"/>
        </w:rPr>
        <w:t>：</w:t>
      </w:r>
      <w:r>
        <w:rPr>
          <w:rFonts w:hint="eastAsia"/>
          <w:sz w:val="28"/>
          <w:szCs w:val="28"/>
          <w:lang w:val="en-US" w:eastAsia="zh-CN"/>
        </w:rPr>
        <w:t>通过网络和图书馆查阅马列维奇的生平介绍和作品</w:t>
      </w:r>
    </w:p>
    <w:p w14:paraId="1E1A61B2">
      <w:pPr>
        <w:ind w:left="1120" w:hanging="1201" w:hangingChars="400"/>
        <w:rPr>
          <w:b/>
          <w:bCs/>
          <w:sz w:val="28"/>
          <w:szCs w:val="28"/>
        </w:rPr>
      </w:pPr>
      <w:r>
        <w:rPr>
          <w:rFonts w:hint="eastAsia"/>
          <w:b/>
          <w:bCs/>
          <w:sz w:val="30"/>
          <w:szCs w:val="30"/>
        </w:rPr>
        <w:t>活动第二阶段：202</w:t>
      </w:r>
      <w:r>
        <w:rPr>
          <w:rFonts w:hint="eastAsia"/>
          <w:b/>
          <w:bCs/>
          <w:sz w:val="30"/>
          <w:szCs w:val="30"/>
          <w:lang w:val="en-US" w:eastAsia="zh-CN"/>
        </w:rPr>
        <w:t>5</w:t>
      </w:r>
      <w:r>
        <w:rPr>
          <w:rFonts w:hint="eastAsia"/>
          <w:b/>
          <w:bCs/>
          <w:sz w:val="30"/>
          <w:szCs w:val="30"/>
        </w:rPr>
        <w:t>年</w:t>
      </w:r>
      <w:r>
        <w:rPr>
          <w:rFonts w:hint="eastAsia"/>
          <w:b/>
          <w:bCs/>
          <w:sz w:val="30"/>
          <w:szCs w:val="30"/>
          <w:lang w:val="en-US" w:eastAsia="zh-CN"/>
        </w:rPr>
        <w:t>7</w:t>
      </w:r>
      <w:r>
        <w:rPr>
          <w:rFonts w:hint="eastAsia"/>
          <w:b/>
          <w:bCs/>
          <w:sz w:val="30"/>
          <w:szCs w:val="30"/>
        </w:rPr>
        <w:t>月</w:t>
      </w:r>
      <w:r>
        <w:rPr>
          <w:rFonts w:hint="eastAsia"/>
          <w:b/>
          <w:bCs/>
          <w:sz w:val="30"/>
          <w:szCs w:val="30"/>
          <w:lang w:val="en-US" w:eastAsia="zh-CN"/>
        </w:rPr>
        <w:t>15日</w:t>
      </w:r>
      <w:r>
        <w:rPr>
          <w:rFonts w:hint="eastAsia"/>
          <w:b/>
          <w:bCs/>
          <w:sz w:val="30"/>
          <w:szCs w:val="30"/>
        </w:rPr>
        <w:t xml:space="preserve"> </w:t>
      </w:r>
    </w:p>
    <w:p w14:paraId="229712AC">
      <w:pPr>
        <w:ind w:left="280" w:hanging="280" w:hangingChars="100"/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>（1）</w:t>
      </w:r>
      <w:r>
        <w:rPr>
          <w:rFonts w:hint="eastAsia"/>
          <w:sz w:val="28"/>
          <w:szCs w:val="28"/>
          <w:lang w:val="en-US" w:eastAsia="zh-CN"/>
        </w:rPr>
        <w:t>数学分析：选取《黑方块》《白上白》等代表作，用尺子、量角器、进行几何分析</w:t>
      </w:r>
    </w:p>
    <w:p w14:paraId="159A182E">
      <w:pPr>
        <w:rPr>
          <w:b/>
          <w:bCs/>
          <w:sz w:val="28"/>
          <w:szCs w:val="28"/>
        </w:rPr>
      </w:pPr>
      <w:r>
        <w:rPr>
          <w:rFonts w:hint="eastAsia"/>
          <w:b/>
          <w:bCs/>
          <w:sz w:val="30"/>
          <w:szCs w:val="30"/>
        </w:rPr>
        <w:t>活动第三阶段：202</w:t>
      </w:r>
      <w:r>
        <w:rPr>
          <w:rFonts w:hint="eastAsia"/>
          <w:b/>
          <w:bCs/>
          <w:sz w:val="30"/>
          <w:szCs w:val="30"/>
          <w:lang w:val="en-US" w:eastAsia="zh-CN"/>
        </w:rPr>
        <w:t>5</w:t>
      </w:r>
      <w:r>
        <w:rPr>
          <w:rFonts w:hint="eastAsia"/>
          <w:b/>
          <w:bCs/>
          <w:sz w:val="30"/>
          <w:szCs w:val="30"/>
        </w:rPr>
        <w:t>年</w:t>
      </w:r>
      <w:r>
        <w:rPr>
          <w:rFonts w:hint="eastAsia"/>
          <w:b/>
          <w:bCs/>
          <w:sz w:val="30"/>
          <w:szCs w:val="30"/>
          <w:lang w:val="en-US" w:eastAsia="zh-CN"/>
        </w:rPr>
        <w:t>8</w:t>
      </w:r>
      <w:r>
        <w:rPr>
          <w:rFonts w:hint="eastAsia"/>
          <w:b/>
          <w:bCs/>
          <w:sz w:val="30"/>
          <w:szCs w:val="30"/>
        </w:rPr>
        <w:t>月</w:t>
      </w:r>
      <w:r>
        <w:rPr>
          <w:rFonts w:hint="eastAsia"/>
          <w:b/>
          <w:bCs/>
          <w:sz w:val="30"/>
          <w:szCs w:val="30"/>
          <w:lang w:val="en-US" w:eastAsia="zh-CN"/>
        </w:rPr>
        <w:t>5</w:t>
      </w:r>
      <w:r>
        <w:rPr>
          <w:rFonts w:hint="eastAsia"/>
          <w:b/>
          <w:bCs/>
          <w:sz w:val="30"/>
          <w:szCs w:val="30"/>
        </w:rPr>
        <w:t>日</w:t>
      </w:r>
    </w:p>
    <w:p w14:paraId="0D8100A8">
      <w:pPr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>（1）</w:t>
      </w:r>
      <w:r>
        <w:rPr>
          <w:rFonts w:hint="eastAsia"/>
          <w:sz w:val="28"/>
          <w:szCs w:val="28"/>
          <w:lang w:val="en-US" w:eastAsia="zh-CN"/>
        </w:rPr>
        <w:t>总结归纳：将研究发现整理成研究报告</w:t>
      </w:r>
    </w:p>
    <w:p w14:paraId="17201D18">
      <w:pPr>
        <w:rPr>
          <w:b/>
          <w:sz w:val="36"/>
          <w:szCs w:val="36"/>
        </w:rPr>
      </w:pPr>
      <w:r>
        <w:rPr>
          <w:rFonts w:hint="eastAsia"/>
          <w:b/>
          <w:sz w:val="36"/>
          <w:szCs w:val="36"/>
        </w:rPr>
        <w:t>四、获得成果</w:t>
      </w:r>
    </w:p>
    <w:p w14:paraId="18BE377A">
      <w:pPr>
        <w:rPr>
          <w:rFonts w:hint="eastAsia" w:ascii="Arial" w:hAnsi="Arial" w:cs="Arial"/>
          <w:b/>
          <w:bCs/>
          <w:color w:val="191919"/>
          <w:sz w:val="28"/>
          <w:szCs w:val="28"/>
          <w:shd w:val="clear" w:color="auto" w:fill="FFFFFF"/>
          <w:lang w:val="en-US" w:eastAsia="zh-CN"/>
        </w:rPr>
      </w:pPr>
      <w:r>
        <w:rPr>
          <w:rFonts w:hint="eastAsia" w:ascii="Arial" w:hAnsi="Arial" w:cs="Arial"/>
          <w:b/>
          <w:bCs/>
          <w:color w:val="191919"/>
          <w:sz w:val="28"/>
          <w:szCs w:val="28"/>
          <w:shd w:val="clear" w:color="auto" w:fill="FFFFFF"/>
          <w:lang w:val="en-US" w:eastAsia="zh-CN"/>
        </w:rPr>
        <w:t>1.数学规律发现</w:t>
      </w:r>
    </w:p>
    <w:p w14:paraId="32C7E0FE">
      <w:pPr>
        <w:rPr>
          <w:rFonts w:hint="eastAsia" w:ascii="Arial" w:hAnsi="Arial" w:cs="Arial"/>
          <w:color w:val="191919"/>
          <w:sz w:val="28"/>
          <w:szCs w:val="28"/>
          <w:shd w:val="clear" w:color="auto" w:fill="FFFFFF"/>
          <w:lang w:val="en-US" w:eastAsia="zh-CN"/>
        </w:rPr>
      </w:pPr>
      <w:r>
        <w:rPr>
          <w:rFonts w:hint="eastAsia" w:ascii="Arial" w:hAnsi="Arial" w:cs="Arial"/>
          <w:color w:val="191919"/>
          <w:sz w:val="28"/>
          <w:szCs w:val="28"/>
          <w:shd w:val="clear" w:color="auto" w:fill="FFFFFF"/>
          <w:lang w:val="en-US" w:eastAsia="zh-CN"/>
        </w:rPr>
        <w:t>通过测量和分析，我发现马列维奇的作品蕴含着深刻的数学美：</w:t>
      </w:r>
    </w:p>
    <w:p w14:paraId="2829F7CB">
      <w:pPr>
        <w:rPr>
          <w:rFonts w:hint="eastAsia" w:ascii="Arial" w:hAnsi="Arial" w:cs="Arial"/>
          <w:color w:val="191919"/>
          <w:sz w:val="28"/>
          <w:szCs w:val="28"/>
          <w:shd w:val="clear" w:color="auto" w:fill="FFFFFF"/>
          <w:lang w:val="en-US" w:eastAsia="zh-CN"/>
        </w:rPr>
      </w:pPr>
      <w:r>
        <w:rPr>
          <w:rFonts w:hint="eastAsia" w:ascii="Arial" w:hAnsi="Arial" w:cs="Arial"/>
          <w:b/>
          <w:bCs/>
          <w:color w:val="191919"/>
          <w:sz w:val="28"/>
          <w:szCs w:val="28"/>
          <w:shd w:val="clear" w:color="auto" w:fill="FFFFFF"/>
          <w:lang w:val="en-US" w:eastAsia="zh-CN"/>
        </w:rPr>
        <w:t>·《黑方块》（1915年）：</w:t>
      </w:r>
      <w:r>
        <w:rPr>
          <w:rFonts w:hint="eastAsia" w:ascii="Arial" w:hAnsi="Arial" w:cs="Arial"/>
          <w:color w:val="191919"/>
          <w:sz w:val="28"/>
          <w:szCs w:val="28"/>
          <w:shd w:val="clear" w:color="auto" w:fill="FFFFFF"/>
          <w:lang w:val="en-US" w:eastAsia="zh-CN"/>
        </w:rPr>
        <w:t>用量角器测量发现，正方形的边并非完全平行于画布边缘，而是有约2度的微小倾斜。这种刻意的不完美打破了绝对对称，在理性中注入了艺术家的感性。</w:t>
      </w:r>
    </w:p>
    <w:p w14:paraId="50A321EF">
      <w:pPr>
        <w:rPr>
          <w:rFonts w:hint="eastAsia" w:ascii="Arial" w:hAnsi="Arial" w:cs="Arial"/>
          <w:color w:val="191919"/>
          <w:sz w:val="28"/>
          <w:szCs w:val="28"/>
          <w:shd w:val="clear" w:color="auto" w:fill="FFFFFF"/>
          <w:lang w:val="en-US" w:eastAsia="zh-CN"/>
        </w:rPr>
      </w:pPr>
      <w:r>
        <w:rPr>
          <w:rFonts w:hint="eastAsia" w:ascii="Arial" w:hAnsi="Arial" w:cs="Arial"/>
          <w:b/>
          <w:bCs/>
          <w:color w:val="191919"/>
          <w:sz w:val="28"/>
          <w:szCs w:val="28"/>
          <w:shd w:val="clear" w:color="auto" w:fill="FFFFFF"/>
          <w:lang w:val="en-US" w:eastAsia="zh-CN"/>
        </w:rPr>
        <w:t>· 《白上白》（1918年）：</w:t>
      </w:r>
      <w:r>
        <w:rPr>
          <w:rFonts w:hint="eastAsia" w:ascii="Arial" w:hAnsi="Arial" w:cs="Arial"/>
          <w:color w:val="191919"/>
          <w:sz w:val="28"/>
          <w:szCs w:val="28"/>
          <w:shd w:val="clear" w:color="auto" w:fill="FFFFFF"/>
          <w:lang w:val="en-US" w:eastAsia="zh-CN"/>
        </w:rPr>
        <w:t>由两个大小不一的白色正方形通过旋转一定角度形成。这体现了数学中的"旋转变换"，创造了奇妙的立体感和空间感。</w:t>
      </w:r>
    </w:p>
    <w:p w14:paraId="2784AB00">
      <w:pPr>
        <w:rPr>
          <w:rFonts w:hint="eastAsia" w:ascii="Arial" w:hAnsi="Arial" w:cs="Arial"/>
          <w:color w:val="191919"/>
          <w:sz w:val="28"/>
          <w:szCs w:val="28"/>
          <w:shd w:val="clear" w:color="auto" w:fill="FFFFFF"/>
          <w:lang w:val="en-US" w:eastAsia="zh-CN"/>
        </w:rPr>
      </w:pPr>
      <w:r>
        <w:rPr>
          <w:rFonts w:hint="eastAsia" w:ascii="Arial" w:hAnsi="Arial" w:cs="Arial"/>
          <w:b/>
          <w:bCs/>
          <w:color w:val="191919"/>
          <w:sz w:val="28"/>
          <w:szCs w:val="28"/>
          <w:shd w:val="clear" w:color="auto" w:fill="FFFFFF"/>
          <w:lang w:val="en-US" w:eastAsia="zh-CN"/>
        </w:rPr>
        <w:t>· 《红色正方形》（1915年）：</w:t>
      </w:r>
      <w:r>
        <w:rPr>
          <w:rFonts w:hint="eastAsia" w:ascii="Arial" w:hAnsi="Arial" w:cs="Arial"/>
          <w:color w:val="191919"/>
          <w:sz w:val="28"/>
          <w:szCs w:val="28"/>
          <w:shd w:val="clear" w:color="auto" w:fill="FFFFFF"/>
          <w:lang w:val="en-US" w:eastAsia="zh-CN"/>
        </w:rPr>
        <w:t>红色正方形的长宽比例接近1:1.05，并非严格的正方形。这种微妙的变形可能是有意的艺术处理，使画面更具动态感。</w:t>
      </w:r>
    </w:p>
    <w:p w14:paraId="403656A3">
      <w:pPr>
        <w:rPr>
          <w:rFonts w:hint="default" w:ascii="Arial" w:hAnsi="Arial" w:cs="Arial"/>
          <w:color w:val="191919"/>
          <w:sz w:val="28"/>
          <w:szCs w:val="28"/>
          <w:shd w:val="clear" w:color="auto" w:fill="FFFFFF"/>
          <w:lang w:val="en-US" w:eastAsia="zh-CN"/>
        </w:rPr>
      </w:pPr>
      <w:r>
        <w:rPr>
          <w:rFonts w:hint="default" w:ascii="Arial" w:hAnsi="Arial" w:cs="Arial"/>
          <w:b/>
          <w:bCs/>
          <w:color w:val="191919"/>
          <w:sz w:val="28"/>
          <w:szCs w:val="28"/>
          <w:shd w:val="clear" w:color="auto" w:fill="FFFFFF"/>
          <w:lang w:val="en-US" w:eastAsia="zh-CN"/>
        </w:rPr>
        <w:t>· 《至上主义构图》（约1916-17）：</w:t>
      </w:r>
      <w:r>
        <w:rPr>
          <w:rFonts w:hint="default" w:ascii="Arial" w:hAnsi="Arial" w:cs="Arial"/>
          <w:color w:val="191919"/>
          <w:sz w:val="28"/>
          <w:szCs w:val="28"/>
          <w:shd w:val="clear" w:color="auto" w:fill="FFFFFF"/>
          <w:lang w:val="en-US" w:eastAsia="zh-CN"/>
        </w:rPr>
        <w:t>画面中的矩形、十字形看似随意摆放，但实际上它们的大小、间距和位置关系经过精心安排，形成了某种视觉上的平衡（类似于物理中的杠杆平衡原理）。我们尝试用坐标格来定位这些图形，感受到了那种“非对称的平衡美”。</w:t>
      </w:r>
    </w:p>
    <w:p w14:paraId="6C331762">
      <w:pPr>
        <w:numPr>
          <w:ilvl w:val="0"/>
          <w:numId w:val="2"/>
        </w:numPr>
        <w:jc w:val="left"/>
        <w:rPr>
          <w:rFonts w:hint="eastAsia"/>
          <w:b/>
          <w:sz w:val="30"/>
          <w:szCs w:val="30"/>
          <w:lang w:val="en-US" w:eastAsia="zh-CN"/>
        </w:rPr>
      </w:pPr>
      <w:r>
        <w:rPr>
          <w:rFonts w:hint="eastAsia"/>
          <w:b/>
          <w:sz w:val="30"/>
          <w:szCs w:val="30"/>
          <w:lang w:val="en-US" w:eastAsia="zh-CN"/>
        </w:rPr>
        <w:t>艺术理解提升</w:t>
      </w:r>
    </w:p>
    <w:p w14:paraId="76B39EDE">
      <w:pPr>
        <w:numPr>
          <w:numId w:val="0"/>
        </w:numPr>
        <w:jc w:val="left"/>
        <w:rPr>
          <w:rFonts w:hint="default" w:ascii="Arial" w:hAnsi="Arial" w:cs="Arial"/>
          <w:color w:val="191919"/>
          <w:sz w:val="28"/>
          <w:szCs w:val="28"/>
          <w:shd w:val="clear" w:color="auto" w:fill="FFFFFF"/>
          <w:lang w:val="en-US" w:eastAsia="zh-CN"/>
        </w:rPr>
      </w:pPr>
      <w:r>
        <w:rPr>
          <w:rFonts w:hint="default" w:ascii="Arial" w:hAnsi="Arial" w:cs="Arial"/>
          <w:color w:val="191919"/>
          <w:sz w:val="28"/>
          <w:szCs w:val="28"/>
          <w:shd w:val="clear" w:color="auto" w:fill="FFFFFF"/>
          <w:lang w:val="en-US" w:eastAsia="zh-CN"/>
        </w:rPr>
        <w:t>我认识到，至上主义不是随意的涂鸦，而是基于几何学的严谨创作。马列维奇将数学中的基本图形作为"艺术词汇"，通过它们的大小、位置、颜色和组合关系，构建出丰富的视觉语言。</w:t>
      </w:r>
      <w:r>
        <w:rPr>
          <w:rFonts w:hint="default" w:ascii="Arial" w:hAnsi="Arial" w:cs="Arial"/>
          <w:color w:val="191919"/>
          <w:sz w:val="28"/>
          <w:szCs w:val="28"/>
          <w:shd w:val="clear" w:color="auto" w:fill="FFFFFF"/>
          <w:lang w:val="en-US" w:eastAsia="zh-CN"/>
        </w:rPr>
        <w:drawing>
          <wp:inline distT="0" distB="0" distL="114300" distR="114300">
            <wp:extent cx="2479675" cy="2487930"/>
            <wp:effectExtent l="0" t="0" r="4445" b="11430"/>
            <wp:docPr id="3" name="图片 3" descr="微信图片_20250907003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微信图片_2025090700370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79675" cy="2487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color w:val="191919"/>
          <w:sz w:val="28"/>
          <w:szCs w:val="28"/>
          <w:shd w:val="clear" w:color="auto" w:fill="FFFFFF"/>
          <w:lang w:val="en-US" w:eastAsia="zh-CN"/>
        </w:rPr>
        <w:drawing>
          <wp:inline distT="0" distB="0" distL="114300" distR="114300">
            <wp:extent cx="2484755" cy="2503805"/>
            <wp:effectExtent l="0" t="0" r="14605" b="10795"/>
            <wp:docPr id="4" name="图片 4" descr="微信图片_202509070036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微信图片_2025090700364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84755" cy="2503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AF261D">
      <w:pPr>
        <w:numPr>
          <w:numId w:val="0"/>
        </w:numPr>
        <w:jc w:val="left"/>
        <w:rPr>
          <w:rFonts w:hint="default" w:ascii="Arial" w:hAnsi="Arial" w:cs="Arial"/>
          <w:color w:val="191919"/>
          <w:sz w:val="28"/>
          <w:szCs w:val="28"/>
          <w:shd w:val="clear" w:color="auto" w:fill="FFFFFF"/>
          <w:lang w:val="en-US" w:eastAsia="zh-CN"/>
        </w:rPr>
      </w:pPr>
      <w:r>
        <w:rPr>
          <w:rFonts w:hint="default" w:ascii="Arial" w:hAnsi="Arial" w:cs="Arial"/>
          <w:color w:val="191919"/>
          <w:sz w:val="28"/>
          <w:szCs w:val="28"/>
          <w:shd w:val="clear" w:color="auto" w:fill="FFFFFF"/>
          <w:lang w:val="en-US" w:eastAsia="zh-CN"/>
        </w:rPr>
        <w:drawing>
          <wp:inline distT="0" distB="0" distL="114300" distR="114300">
            <wp:extent cx="2409825" cy="3213100"/>
            <wp:effectExtent l="0" t="0" r="13335" b="2540"/>
            <wp:docPr id="5" name="图片 5" descr="微信图片_202509070037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微信图片_2025090700371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321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color w:val="191919"/>
          <w:sz w:val="28"/>
          <w:szCs w:val="28"/>
          <w:shd w:val="clear" w:color="auto" w:fill="FFFFFF"/>
          <w:lang w:val="en-US" w:eastAsia="zh-CN"/>
        </w:rPr>
        <w:drawing>
          <wp:inline distT="0" distB="0" distL="114300" distR="114300">
            <wp:extent cx="2414270" cy="3220085"/>
            <wp:effectExtent l="0" t="0" r="8890" b="10795"/>
            <wp:docPr id="9" name="图片 9" descr="微信图片_20250907003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微信图片_2025090700372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414270" cy="3220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20D67A">
      <w:pPr>
        <w:numPr>
          <w:numId w:val="0"/>
        </w:numPr>
        <w:jc w:val="left"/>
        <w:rPr>
          <w:rFonts w:hint="default" w:ascii="Arial" w:hAnsi="Arial" w:cs="Arial"/>
          <w:color w:val="191919"/>
          <w:sz w:val="28"/>
          <w:szCs w:val="28"/>
          <w:shd w:val="clear" w:color="auto" w:fill="FFFFFF"/>
          <w:lang w:val="en-US" w:eastAsia="zh-CN"/>
        </w:rPr>
      </w:pPr>
      <w:r>
        <w:rPr>
          <w:rFonts w:hint="default" w:ascii="Arial" w:hAnsi="Arial" w:cs="Arial"/>
          <w:color w:val="191919"/>
          <w:sz w:val="28"/>
          <w:szCs w:val="28"/>
          <w:shd w:val="clear" w:color="auto" w:fill="FFFFFF"/>
          <w:lang w:val="en-US" w:eastAsia="zh-CN"/>
        </w:rPr>
        <w:drawing>
          <wp:inline distT="0" distB="0" distL="114300" distR="114300">
            <wp:extent cx="2494915" cy="3244215"/>
            <wp:effectExtent l="0" t="0" r="4445" b="1905"/>
            <wp:docPr id="10" name="图片 10" descr="微信图片_202509070037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微信图片_2025090700372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94915" cy="3244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color w:val="191919"/>
          <w:sz w:val="28"/>
          <w:szCs w:val="28"/>
          <w:shd w:val="clear" w:color="auto" w:fill="FFFFFF"/>
          <w:lang w:val="en-US" w:eastAsia="zh-CN"/>
        </w:rPr>
        <w:drawing>
          <wp:inline distT="0" distB="0" distL="114300" distR="114300">
            <wp:extent cx="2495550" cy="3244215"/>
            <wp:effectExtent l="0" t="0" r="3810" b="1905"/>
            <wp:docPr id="11" name="图片 11" descr="微信图片_202509070037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微信图片_2025090700373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3244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689085">
      <w:pPr>
        <w:numPr>
          <w:ilvl w:val="0"/>
          <w:numId w:val="3"/>
        </w:numPr>
        <w:jc w:val="left"/>
        <w:rPr>
          <w:rFonts w:hint="eastAsia"/>
          <w:b/>
          <w:sz w:val="36"/>
          <w:szCs w:val="36"/>
        </w:rPr>
      </w:pPr>
      <w:r>
        <w:rPr>
          <w:rFonts w:hint="eastAsia"/>
          <w:b/>
          <w:sz w:val="36"/>
          <w:szCs w:val="36"/>
        </w:rPr>
        <w:t>活动感受：</w:t>
      </w:r>
      <w:bookmarkStart w:id="1" w:name="_Hlk37449348"/>
    </w:p>
    <w:p w14:paraId="7C3342F8">
      <w:pPr>
        <w:numPr>
          <w:ilvl w:val="0"/>
          <w:numId w:val="4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知识方面</w:t>
      </w:r>
      <w:r>
        <w:rPr>
          <w:rFonts w:hint="eastAsia"/>
          <w:sz w:val="28"/>
          <w:szCs w:val="28"/>
          <w:lang w:val="en-US" w:eastAsia="zh-CN"/>
        </w:rPr>
        <w:t>，我不仅了解了至上主义艺术流派，还发现了数学与艺术之间深刻的内在联系。几何学不仅是解题工具，更是创造美的有力手段。</w:t>
      </w:r>
    </w:p>
    <w:p w14:paraId="3896A08E">
      <w:pPr>
        <w:numPr>
          <w:ilvl w:val="0"/>
          <w:numId w:val="4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能力方面</w:t>
      </w:r>
      <w:r>
        <w:rPr>
          <w:rFonts w:hint="eastAsia"/>
          <w:sz w:val="28"/>
          <w:szCs w:val="28"/>
          <w:lang w:val="en-US" w:eastAsia="zh-CN"/>
        </w:rPr>
        <w:t>，我的独立思考能力、分析问题和解决问题的能力都得到了锻炼。从最初的好奇困惑，到主动寻找答案，再到最终形成自己的见解，这个过程让我感受到了研究的乐趣。</w:t>
      </w:r>
    </w:p>
    <w:p w14:paraId="31DACB33">
      <w:pPr>
        <w:numPr>
          <w:ilvl w:val="0"/>
          <w:numId w:val="4"/>
        </w:numPr>
        <w:ind w:left="0" w:leftChars="0" w:firstLine="0" w:firstLine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感悟方面</w:t>
      </w:r>
      <w:r>
        <w:rPr>
          <w:rFonts w:hint="eastAsia"/>
          <w:sz w:val="28"/>
          <w:szCs w:val="28"/>
          <w:lang w:val="en-US" w:eastAsia="zh-CN"/>
        </w:rPr>
        <w:t>，我认识到学科之间不是孤立的，而是相互联系的。用数学的眼光欣赏艺术，用艺术的直觉理解数学，这种跨学科的思维方式为我打开了新的视野。</w:t>
      </w:r>
    </w:p>
    <w:p w14:paraId="09A44993">
      <w:pPr>
        <w:numPr>
          <w:numId w:val="0"/>
        </w:numPr>
        <w:ind w:leftChars="0"/>
        <w:rPr>
          <w:rFonts w:hint="eastAsia"/>
          <w:b/>
          <w:bCs/>
          <w:sz w:val="28"/>
          <w:szCs w:val="28"/>
          <w:highlight w:val="none"/>
          <w:lang w:val="en-US" w:eastAsia="zh-CN"/>
        </w:rPr>
      </w:pPr>
    </w:p>
    <w:p w14:paraId="2824CD98">
      <w:pPr>
        <w:numPr>
          <w:numId w:val="0"/>
        </w:numPr>
        <w:ind w:leftChars="0"/>
        <w:rPr>
          <w:rFonts w:hint="default"/>
          <w:b/>
          <w:bCs/>
          <w:sz w:val="28"/>
          <w:szCs w:val="28"/>
          <w:highlight w:val="none"/>
          <w:lang w:val="en-US" w:eastAsia="zh-CN"/>
        </w:rPr>
      </w:pPr>
      <w:r>
        <w:rPr>
          <w:rFonts w:hint="eastAsia"/>
          <w:b/>
          <w:bCs/>
          <w:sz w:val="28"/>
          <w:szCs w:val="28"/>
          <w:highlight w:val="none"/>
          <w:lang w:val="en-US" w:eastAsia="zh-CN"/>
        </w:rPr>
        <w:t>结语：艺术让数学更生动，数学让艺术更深刻！</w:t>
      </w:r>
    </w:p>
    <w:p w14:paraId="100897EF">
      <w:pPr>
        <w:numPr>
          <w:numId w:val="0"/>
        </w:numPr>
        <w:ind w:leftChars="0"/>
        <w:rPr>
          <w:rFonts w:hint="default"/>
          <w:sz w:val="28"/>
          <w:szCs w:val="28"/>
          <w:lang w:val="en-US" w:eastAsia="zh-CN"/>
        </w:rPr>
      </w:pPr>
    </w:p>
    <w:p w14:paraId="79ED8AB8">
      <w:pPr>
        <w:numPr>
          <w:numId w:val="0"/>
        </w:numPr>
        <w:jc w:val="left"/>
        <w:rPr>
          <w:rFonts w:hint="eastAsia"/>
          <w:b/>
          <w:sz w:val="36"/>
          <w:szCs w:val="36"/>
        </w:rPr>
      </w:pPr>
    </w:p>
    <w:p w14:paraId="510ADBCE">
      <w:pPr>
        <w:numPr>
          <w:numId w:val="0"/>
        </w:numPr>
        <w:jc w:val="left"/>
        <w:rPr>
          <w:rFonts w:hint="default"/>
          <w:b/>
          <w:sz w:val="36"/>
          <w:szCs w:val="36"/>
          <w:lang w:val="en-US" w:eastAsia="zh-CN"/>
        </w:rPr>
      </w:pPr>
    </w:p>
    <w:p w14:paraId="7F01752D">
      <w:pPr>
        <w:jc w:val="left"/>
        <w:rPr>
          <w:sz w:val="28"/>
          <w:szCs w:val="28"/>
        </w:rPr>
      </w:pPr>
    </w:p>
    <w:p w14:paraId="52AF9E00">
      <w:pPr>
        <w:jc w:val="left"/>
        <w:rPr>
          <w:sz w:val="28"/>
          <w:szCs w:val="28"/>
        </w:rPr>
      </w:pPr>
    </w:p>
    <w:bookmarkEnd w:id="1"/>
    <w:p w14:paraId="4C997234">
      <w:pPr>
        <w:jc w:val="left"/>
        <w:rPr>
          <w:sz w:val="28"/>
          <w:szCs w:val="28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方正仿宋_GBK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新宋体">
    <w:panose1 w:val="02010609030101010101"/>
    <w:charset w:val="86"/>
    <w:family w:val="auto"/>
    <w:pitch w:val="default"/>
    <w:sig w:usb0="00000203" w:usb1="288F0000" w:usb2="00000006" w:usb3="00000000" w:csb0="00040001" w:csb1="00000000"/>
  </w:font>
  <w:font w:name="微软雅黑 Light">
    <w:panose1 w:val="020B0502040204020203"/>
    <w:charset w:val="86"/>
    <w:family w:val="auto"/>
    <w:pitch w:val="default"/>
    <w:sig w:usb0="80000287" w:usb1="2ACF0010" w:usb2="00000016" w:usb3="00000000" w:csb0="0004001F" w:csb1="00000000"/>
  </w:font>
  <w:font w:name="方正粗黑宋简体">
    <w:panose1 w:val="02000000000000000000"/>
    <w:charset w:val="86"/>
    <w:family w:val="auto"/>
    <w:pitch w:val="default"/>
    <w:sig w:usb0="A00002BF" w:usb1="184F6CFA" w:usb2="00000012" w:usb3="00000000" w:csb0="00040001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95B7F6E">
    <w:pPr>
      <w:pStyle w:val="4"/>
    </w:pPr>
    <w:r>
      <w:t xml:space="preserve">                              </w:t>
    </w:r>
    <w:r>
      <w:ptab w:relativeTo="margin" w:alignment="center" w:leader="none"/>
    </w:r>
    <w:r>
      <w:t>7</w: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EFD4D52"/>
    <w:multiLevelType w:val="singleLevel"/>
    <w:tmpl w:val="AEFD4D52"/>
    <w:lvl w:ilvl="0" w:tentative="0">
      <w:start w:val="5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D0D14672"/>
    <w:multiLevelType w:val="singleLevel"/>
    <w:tmpl w:val="D0D14672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17F876D8"/>
    <w:multiLevelType w:val="singleLevel"/>
    <w:tmpl w:val="17F876D8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25ECC4CE"/>
    <w:multiLevelType w:val="singleLevel"/>
    <w:tmpl w:val="25ECC4CE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1269D"/>
    <w:rsid w:val="00014525"/>
    <w:rsid w:val="0005527C"/>
    <w:rsid w:val="0014765E"/>
    <w:rsid w:val="00153594"/>
    <w:rsid w:val="001764E8"/>
    <w:rsid w:val="0018474F"/>
    <w:rsid w:val="002510B3"/>
    <w:rsid w:val="002561DB"/>
    <w:rsid w:val="00295941"/>
    <w:rsid w:val="0030014E"/>
    <w:rsid w:val="0038075C"/>
    <w:rsid w:val="003A4422"/>
    <w:rsid w:val="003E5B37"/>
    <w:rsid w:val="003F2538"/>
    <w:rsid w:val="00406C2E"/>
    <w:rsid w:val="0040720B"/>
    <w:rsid w:val="00436049"/>
    <w:rsid w:val="00457DB6"/>
    <w:rsid w:val="004B10BC"/>
    <w:rsid w:val="005078E6"/>
    <w:rsid w:val="00516EA0"/>
    <w:rsid w:val="00532695"/>
    <w:rsid w:val="00535B00"/>
    <w:rsid w:val="005453B1"/>
    <w:rsid w:val="00574DBD"/>
    <w:rsid w:val="00591A79"/>
    <w:rsid w:val="005A1947"/>
    <w:rsid w:val="005D5914"/>
    <w:rsid w:val="0061269D"/>
    <w:rsid w:val="00633263"/>
    <w:rsid w:val="00636EBA"/>
    <w:rsid w:val="00646B57"/>
    <w:rsid w:val="0066183E"/>
    <w:rsid w:val="00676355"/>
    <w:rsid w:val="006825EE"/>
    <w:rsid w:val="006C180A"/>
    <w:rsid w:val="006E2084"/>
    <w:rsid w:val="006E7579"/>
    <w:rsid w:val="006F327C"/>
    <w:rsid w:val="00711967"/>
    <w:rsid w:val="007253B3"/>
    <w:rsid w:val="007545E3"/>
    <w:rsid w:val="007870FF"/>
    <w:rsid w:val="00795D4B"/>
    <w:rsid w:val="007B4BC7"/>
    <w:rsid w:val="00806DA2"/>
    <w:rsid w:val="00816FBF"/>
    <w:rsid w:val="00856E06"/>
    <w:rsid w:val="008631A0"/>
    <w:rsid w:val="008B35AE"/>
    <w:rsid w:val="008B3B29"/>
    <w:rsid w:val="00917B66"/>
    <w:rsid w:val="009B66F1"/>
    <w:rsid w:val="009F5949"/>
    <w:rsid w:val="00A231AD"/>
    <w:rsid w:val="00A57562"/>
    <w:rsid w:val="00A63842"/>
    <w:rsid w:val="00A738F9"/>
    <w:rsid w:val="00A81AFC"/>
    <w:rsid w:val="00AA77FF"/>
    <w:rsid w:val="00AB013C"/>
    <w:rsid w:val="00AD16BC"/>
    <w:rsid w:val="00B677FC"/>
    <w:rsid w:val="00B9098D"/>
    <w:rsid w:val="00B93936"/>
    <w:rsid w:val="00BA134F"/>
    <w:rsid w:val="00BB2EB7"/>
    <w:rsid w:val="00BE66A0"/>
    <w:rsid w:val="00C95794"/>
    <w:rsid w:val="00CA2E44"/>
    <w:rsid w:val="00CE494D"/>
    <w:rsid w:val="00D419CE"/>
    <w:rsid w:val="00D554A7"/>
    <w:rsid w:val="00D66BDD"/>
    <w:rsid w:val="00D75B6B"/>
    <w:rsid w:val="00DA6553"/>
    <w:rsid w:val="00DB3D64"/>
    <w:rsid w:val="00EB6CB2"/>
    <w:rsid w:val="00ED3C9E"/>
    <w:rsid w:val="00EF184E"/>
    <w:rsid w:val="00F408D1"/>
    <w:rsid w:val="5DDF34A9"/>
    <w:rsid w:val="65FC0260"/>
    <w:rsid w:val="D2DF5F49"/>
    <w:rsid w:val="D7FF2A95"/>
    <w:rsid w:val="F6FF8314"/>
    <w:rsid w:val="FF26AD65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qFormat="1" w:uiPriority="99" w:name="endnote reference"/>
    <w:lsdException w:qFormat="1"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endnote text"/>
    <w:basedOn w:val="1"/>
    <w:link w:val="14"/>
    <w:semiHidden/>
    <w:unhideWhenUsed/>
    <w:qFormat/>
    <w:uiPriority w:val="99"/>
    <w:pPr>
      <w:snapToGrid w:val="0"/>
      <w:jc w:val="left"/>
    </w:pPr>
  </w:style>
  <w:style w:type="paragraph" w:styleId="3">
    <w:name w:val="Balloon Text"/>
    <w:basedOn w:val="1"/>
    <w:link w:val="13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8">
    <w:name w:val="Strong"/>
    <w:basedOn w:val="7"/>
    <w:qFormat/>
    <w:uiPriority w:val="22"/>
    <w:rPr>
      <w:b/>
      <w:bCs/>
    </w:rPr>
  </w:style>
  <w:style w:type="character" w:styleId="9">
    <w:name w:val="endnote reference"/>
    <w:basedOn w:val="7"/>
    <w:semiHidden/>
    <w:unhideWhenUsed/>
    <w:qFormat/>
    <w:uiPriority w:val="99"/>
    <w:rPr>
      <w:vertAlign w:val="superscript"/>
    </w:rPr>
  </w:style>
  <w:style w:type="paragraph" w:styleId="10">
    <w:name w:val="List Paragraph"/>
    <w:basedOn w:val="1"/>
    <w:qFormat/>
    <w:uiPriority w:val="34"/>
    <w:pPr>
      <w:ind w:firstLine="420" w:firstLineChars="200"/>
    </w:pPr>
  </w:style>
  <w:style w:type="character" w:customStyle="1" w:styleId="11">
    <w:name w:val="页眉 字符"/>
    <w:basedOn w:val="7"/>
    <w:link w:val="5"/>
    <w:qFormat/>
    <w:uiPriority w:val="99"/>
    <w:rPr>
      <w:sz w:val="18"/>
      <w:szCs w:val="18"/>
    </w:rPr>
  </w:style>
  <w:style w:type="character" w:customStyle="1" w:styleId="12">
    <w:name w:val="页脚 字符"/>
    <w:basedOn w:val="7"/>
    <w:link w:val="4"/>
    <w:qFormat/>
    <w:uiPriority w:val="99"/>
    <w:rPr>
      <w:sz w:val="18"/>
      <w:szCs w:val="18"/>
    </w:rPr>
  </w:style>
  <w:style w:type="character" w:customStyle="1" w:styleId="13">
    <w:name w:val="批注框文本 字符"/>
    <w:basedOn w:val="7"/>
    <w:link w:val="3"/>
    <w:semiHidden/>
    <w:qFormat/>
    <w:uiPriority w:val="99"/>
    <w:rPr>
      <w:sz w:val="18"/>
      <w:szCs w:val="18"/>
    </w:rPr>
  </w:style>
  <w:style w:type="character" w:customStyle="1" w:styleId="14">
    <w:name w:val="尾注文本 字符"/>
    <w:basedOn w:val="7"/>
    <w:link w:val="2"/>
    <w:semiHidden/>
    <w:qFormat/>
    <w:uiPriority w:val="99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numbering" Target="numbering.xml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tyleName="APA" SelectedStyle="\APA.XSL"/>
</file>

<file path=customXml/itemProps1.xml><?xml version="1.0" encoding="utf-8"?>
<ds:datastoreItem xmlns:ds="http://schemas.openxmlformats.org/officeDocument/2006/customXml" ds:itemID="{3B1B3B33-AE2E-4A25-989F-07FEB4F59F83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1975</Words>
  <Characters>2046</Characters>
  <Lines>15</Lines>
  <Paragraphs>4</Paragraphs>
  <TotalTime>181</TotalTime>
  <ScaleCrop>false</ScaleCrop>
  <LinksUpToDate>false</LinksUpToDate>
  <CharactersWithSpaces>2146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2020-04-07T02:08:00Z</dcterms:created>
  <dc:creator>钱济龙</dc:creator>
  <cp:lastModifiedBy>cll</cp:lastModifiedBy>
  <dcterms:modified xsi:type="dcterms:W3CDTF">2025-09-06T16:57:55Z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E5AB295B10C5A2944E73BA680645B5DB_42</vt:lpwstr>
  </property>
  <property fmtid="{D5CDD505-2E9C-101B-9397-08002B2CF9AE}" pid="4" name="KSOTemplateDocerSaveRecord">
    <vt:lpwstr>eyJoZGlkIjoiNjkzZDA0NzY3MGNiYjRmODM3M2U3NTQ5ZGI0Y2JmNzcifQ==</vt:lpwstr>
  </property>
</Properties>
</file>