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403AA5A">
      <w:pPr>
        <w:pStyle w:val="2"/>
        <w:jc w:val="both"/>
        <w:rPr>
          <w:rFonts w:hint="eastAsia"/>
          <w:color w:val="auto"/>
          <w:szCs w:val="21"/>
          <w:shd w:val="clear" w:color="auto" w:fill="auto"/>
          <w:lang w:val="en-US" w:eastAsia="zh-CN"/>
        </w:rPr>
      </w:pPr>
      <w:bookmarkStart w:id="0" w:name="heading_24"/>
    </w:p>
    <w:p w14:paraId="0874DBA8">
      <w:pPr>
        <w:rPr>
          <w:rFonts w:hint="eastAsia"/>
          <w:color w:val="auto"/>
          <w:szCs w:val="21"/>
          <w:shd w:val="clear" w:color="auto" w:fill="auto"/>
          <w:lang w:val="en-US" w:eastAsia="zh-CN"/>
        </w:rPr>
      </w:pPr>
    </w:p>
    <w:p w14:paraId="64F2BA08">
      <w:pPr>
        <w:pStyle w:val="2"/>
        <w:jc w:val="center"/>
        <w:rPr>
          <w:rFonts w:hint="eastAsia" w:ascii="华文仿宋" w:hAnsi="华文仿宋" w:eastAsia="华文仿宋" w:cs="华文仿宋"/>
          <w:color w:val="auto"/>
          <w:sz w:val="40"/>
          <w:szCs w:val="40"/>
          <w:shd w:val="clear" w:color="auto" w:fill="auto"/>
          <w:lang w:val="en-US" w:eastAsia="zh-CN"/>
        </w:rPr>
      </w:pPr>
      <w:r>
        <w:rPr>
          <w:rFonts w:hint="eastAsia" w:ascii="华文仿宋" w:hAnsi="华文仿宋" w:eastAsia="华文仿宋" w:cs="华文仿宋"/>
          <w:color w:val="auto"/>
          <w:sz w:val="40"/>
          <w:szCs w:val="40"/>
          <w:shd w:val="clear" w:color="auto" w:fill="auto"/>
          <w:lang w:val="en-US" w:eastAsia="zh-CN"/>
        </w:rPr>
        <w:t>博物馆中的数学</w:t>
      </w:r>
    </w:p>
    <w:p w14:paraId="3AC71E88">
      <w:pPr>
        <w:pStyle w:val="2"/>
        <w:jc w:val="center"/>
        <w:rPr>
          <w:rFonts w:hint="eastAsia" w:ascii="华文仿宋" w:hAnsi="华文仿宋" w:eastAsia="华文仿宋" w:cs="华文仿宋"/>
          <w:color w:val="auto"/>
          <w:sz w:val="40"/>
          <w:szCs w:val="40"/>
          <w:shd w:val="clear" w:color="auto" w:fill="auto"/>
          <w:lang w:val="en-US" w:eastAsia="zh-CN"/>
        </w:rPr>
      </w:pPr>
      <w:r>
        <w:rPr>
          <w:rFonts w:hint="eastAsia" w:ascii="华文仿宋" w:hAnsi="华文仿宋" w:eastAsia="华文仿宋" w:cs="华文仿宋"/>
          <w:color w:val="auto"/>
          <w:sz w:val="40"/>
          <w:szCs w:val="40"/>
          <w:shd w:val="clear" w:color="auto" w:fill="auto"/>
          <w:lang w:val="en-US" w:eastAsia="zh-CN"/>
        </w:rPr>
        <w:t xml:space="preserve">  —基于文物、建筑与展陈的初中数学实践探究</w:t>
      </w:r>
    </w:p>
    <w:p w14:paraId="1CFB7C96">
      <w:pPr>
        <w:pStyle w:val="2"/>
        <w:jc w:val="center"/>
        <w:rPr>
          <w:rFonts w:hint="eastAsia"/>
          <w:color w:val="auto"/>
          <w:sz w:val="72"/>
          <w:szCs w:val="72"/>
          <w:shd w:val="clear" w:color="auto" w:fill="auto"/>
          <w:lang w:val="en-US" w:eastAsia="zh-CN"/>
        </w:rPr>
      </w:pPr>
    </w:p>
    <w:p w14:paraId="28358858">
      <w:pPr>
        <w:pStyle w:val="2"/>
        <w:jc w:val="center"/>
      </w:pPr>
      <w:r>
        <w:rPr>
          <w:rFonts w:hint="eastAsia"/>
          <w:color w:val="auto"/>
          <w:sz w:val="72"/>
          <w:szCs w:val="72"/>
          <w:shd w:val="clear" w:color="auto" w:fill="auto"/>
          <w:lang w:val="en-US" w:eastAsia="zh-CN"/>
        </w:rPr>
        <w:t>结题</w:t>
      </w:r>
      <w:r>
        <w:rPr>
          <w:rFonts w:hint="eastAsia"/>
          <w:color w:val="auto"/>
          <w:sz w:val="72"/>
          <w:szCs w:val="72"/>
          <w:shd w:val="clear" w:color="auto" w:fill="auto"/>
        </w:rPr>
        <w:t>报告</w:t>
      </w:r>
    </w:p>
    <w:p w14:paraId="3D7DDF54">
      <w:pPr>
        <w:pStyle w:val="2"/>
        <w:jc w:val="center"/>
        <w:rPr>
          <w:rFonts w:hint="eastAsia"/>
          <w:color w:val="auto"/>
          <w:szCs w:val="21"/>
          <w:shd w:val="clear" w:color="auto" w:fill="auto"/>
          <w:lang w:val="en-US" w:eastAsia="zh-CN"/>
        </w:rPr>
      </w:pPr>
    </w:p>
    <w:p w14:paraId="60AEC9E6">
      <w:pPr>
        <w:rPr>
          <w:rFonts w:hint="eastAsia"/>
          <w:color w:val="auto"/>
          <w:szCs w:val="21"/>
          <w:shd w:val="clear" w:color="auto" w:fill="auto"/>
          <w:lang w:val="en-US" w:eastAsia="zh-CN"/>
        </w:rPr>
      </w:pPr>
    </w:p>
    <w:p w14:paraId="7F3FF271">
      <w:pPr>
        <w:rPr>
          <w:rFonts w:hint="eastAsia"/>
          <w:color w:val="auto"/>
          <w:szCs w:val="21"/>
          <w:shd w:val="clear" w:color="auto" w:fill="auto"/>
          <w:lang w:val="en-US" w:eastAsia="zh-CN"/>
        </w:rPr>
      </w:pPr>
    </w:p>
    <w:p w14:paraId="47A6E6DA">
      <w:pPr>
        <w:rPr>
          <w:rFonts w:hint="eastAsia"/>
          <w:color w:val="auto"/>
          <w:szCs w:val="21"/>
          <w:shd w:val="clear" w:color="auto" w:fill="auto"/>
          <w:lang w:val="en-US" w:eastAsia="zh-CN"/>
        </w:rPr>
      </w:pPr>
    </w:p>
    <w:p w14:paraId="019C46A5">
      <w:pPr>
        <w:rPr>
          <w:rFonts w:hint="eastAsia"/>
          <w:color w:val="auto"/>
          <w:szCs w:val="21"/>
          <w:shd w:val="clear" w:color="auto" w:fill="auto"/>
          <w:lang w:val="en-US" w:eastAsia="zh-CN"/>
        </w:rPr>
      </w:pPr>
    </w:p>
    <w:p w14:paraId="50BE3876">
      <w:pPr>
        <w:rPr>
          <w:rFonts w:hint="eastAsia"/>
          <w:color w:val="auto"/>
          <w:szCs w:val="21"/>
          <w:shd w:val="clear" w:color="auto" w:fill="auto"/>
          <w:lang w:val="en-US" w:eastAsia="zh-CN"/>
        </w:rPr>
      </w:pPr>
    </w:p>
    <w:p w14:paraId="59B141EC">
      <w:pPr>
        <w:rPr>
          <w:rFonts w:hint="eastAsia"/>
          <w:color w:val="auto"/>
          <w:szCs w:val="21"/>
          <w:shd w:val="clear" w:color="auto" w:fill="auto"/>
          <w:lang w:val="en-US" w:eastAsia="zh-CN"/>
        </w:rPr>
      </w:pPr>
    </w:p>
    <w:p w14:paraId="5BB0E620">
      <w:pPr>
        <w:rPr>
          <w:rFonts w:hint="eastAsia"/>
          <w:color w:val="auto"/>
          <w:szCs w:val="21"/>
          <w:shd w:val="clear" w:color="auto" w:fill="auto"/>
          <w:lang w:val="en-US" w:eastAsia="zh-CN"/>
        </w:rPr>
      </w:pPr>
    </w:p>
    <w:p w14:paraId="18021924">
      <w:pPr>
        <w:rPr>
          <w:rFonts w:hint="eastAsia"/>
          <w:color w:val="auto"/>
          <w:szCs w:val="21"/>
          <w:shd w:val="clear" w:color="auto" w:fill="auto"/>
          <w:lang w:val="en-US" w:eastAsia="zh-CN"/>
        </w:rPr>
      </w:pPr>
    </w:p>
    <w:p w14:paraId="0662B686">
      <w:pPr>
        <w:rPr>
          <w:rFonts w:hint="eastAsia"/>
          <w:color w:val="auto"/>
          <w:szCs w:val="21"/>
          <w:shd w:val="clear" w:color="auto" w:fill="auto"/>
          <w:lang w:val="en-US" w:eastAsia="zh-CN"/>
        </w:rPr>
      </w:pPr>
      <w:bookmarkStart w:id="19" w:name="_GoBack"/>
      <w:bookmarkEnd w:id="19"/>
    </w:p>
    <w:p w14:paraId="0321555A">
      <w:pPr>
        <w:rPr>
          <w:rFonts w:hint="eastAsia"/>
          <w:color w:val="auto"/>
          <w:szCs w:val="21"/>
          <w:shd w:val="clear" w:color="auto" w:fill="auto"/>
          <w:lang w:val="en-US" w:eastAsia="zh-CN"/>
        </w:rPr>
      </w:pPr>
    </w:p>
    <w:p w14:paraId="132DC563">
      <w:pPr>
        <w:rPr>
          <w:rFonts w:hint="eastAsia"/>
          <w:color w:val="auto"/>
          <w:szCs w:val="21"/>
          <w:shd w:val="clear" w:color="auto" w:fill="auto"/>
          <w:lang w:val="en-US" w:eastAsia="zh-CN"/>
        </w:rPr>
      </w:pPr>
    </w:p>
    <w:p w14:paraId="3A26FE4D">
      <w:pPr>
        <w:rPr>
          <w:rFonts w:hint="eastAsia"/>
          <w:color w:val="auto"/>
          <w:szCs w:val="21"/>
          <w:shd w:val="clear" w:color="auto" w:fill="auto"/>
          <w:lang w:val="en-US" w:eastAsia="zh-CN"/>
        </w:rPr>
      </w:pPr>
    </w:p>
    <w:p w14:paraId="52E233BC">
      <w:pPr>
        <w:rPr>
          <w:rFonts w:hint="eastAsia"/>
          <w:color w:val="auto"/>
          <w:szCs w:val="21"/>
          <w:shd w:val="clear" w:color="auto" w:fill="auto"/>
          <w:lang w:val="en-US" w:eastAsia="zh-CN"/>
        </w:rPr>
      </w:pPr>
    </w:p>
    <w:p w14:paraId="10D9A05D">
      <w:pPr>
        <w:rPr>
          <w:rFonts w:hint="eastAsia"/>
          <w:color w:val="auto"/>
          <w:szCs w:val="21"/>
          <w:shd w:val="clear" w:color="auto" w:fill="auto"/>
          <w:lang w:val="en-US" w:eastAsia="zh-CN"/>
        </w:rPr>
      </w:pPr>
    </w:p>
    <w:p w14:paraId="0B27F972">
      <w:pPr>
        <w:rPr>
          <w:rFonts w:hint="eastAsia"/>
          <w:color w:val="auto"/>
          <w:szCs w:val="21"/>
          <w:shd w:val="clear" w:color="auto" w:fill="auto"/>
          <w:lang w:val="en-US" w:eastAsia="zh-CN"/>
        </w:rPr>
      </w:pPr>
    </w:p>
    <w:p w14:paraId="1AA6CE5E">
      <w:pPr>
        <w:rPr>
          <w:rFonts w:hint="eastAsia"/>
          <w:color w:val="auto"/>
          <w:szCs w:val="21"/>
          <w:shd w:val="clear" w:color="auto" w:fill="auto"/>
          <w:lang w:val="en-US" w:eastAsia="zh-CN"/>
        </w:rPr>
      </w:pPr>
    </w:p>
    <w:p w14:paraId="6E0EB93D">
      <w:pPr>
        <w:rPr>
          <w:rFonts w:hint="eastAsia"/>
          <w:color w:val="auto"/>
          <w:szCs w:val="21"/>
          <w:shd w:val="clear" w:color="auto" w:fill="auto"/>
          <w:lang w:val="en-US" w:eastAsia="zh-CN"/>
        </w:rPr>
      </w:pPr>
    </w:p>
    <w:p w14:paraId="0CD5830F">
      <w:pPr>
        <w:rPr>
          <w:rFonts w:hint="eastAsia"/>
          <w:color w:val="auto"/>
          <w:szCs w:val="21"/>
          <w:shd w:val="clear" w:color="auto" w:fill="auto"/>
          <w:lang w:val="en-US" w:eastAsia="zh-CN"/>
        </w:rPr>
      </w:pPr>
    </w:p>
    <w:p w14:paraId="73823473">
      <w:pPr>
        <w:rPr>
          <w:rFonts w:hint="eastAsia"/>
          <w:color w:val="auto"/>
          <w:szCs w:val="21"/>
          <w:shd w:val="clear" w:color="auto" w:fill="auto"/>
          <w:lang w:val="en-US" w:eastAsia="zh-CN"/>
        </w:rPr>
      </w:pPr>
    </w:p>
    <w:p w14:paraId="20C8D376">
      <w:pPr>
        <w:rPr>
          <w:rFonts w:hint="eastAsia"/>
          <w:color w:val="auto"/>
          <w:szCs w:val="21"/>
          <w:shd w:val="clear" w:color="auto" w:fill="auto"/>
          <w:lang w:val="en-US" w:eastAsia="zh-CN"/>
        </w:rPr>
      </w:pPr>
    </w:p>
    <w:p w14:paraId="24538B85">
      <w:pPr>
        <w:rPr>
          <w:rFonts w:hint="eastAsia"/>
          <w:color w:val="auto"/>
          <w:szCs w:val="21"/>
          <w:shd w:val="clear" w:color="auto" w:fill="auto"/>
          <w:lang w:val="en-US" w:eastAsia="zh-CN"/>
        </w:rPr>
      </w:pPr>
    </w:p>
    <w:p w14:paraId="48DEB6AF">
      <w:pPr>
        <w:rPr>
          <w:rFonts w:hint="eastAsia"/>
          <w:color w:val="auto"/>
          <w:szCs w:val="21"/>
          <w:shd w:val="clear" w:color="auto" w:fill="auto"/>
          <w:lang w:val="en-US" w:eastAsia="zh-CN"/>
        </w:rPr>
      </w:pPr>
    </w:p>
    <w:p w14:paraId="58552A7B">
      <w:pPr>
        <w:rPr>
          <w:rFonts w:hint="eastAsia"/>
          <w:color w:val="auto"/>
          <w:szCs w:val="21"/>
          <w:shd w:val="clear" w:color="auto" w:fill="auto"/>
          <w:lang w:val="en-US" w:eastAsia="zh-CN"/>
        </w:rPr>
      </w:pPr>
    </w:p>
    <w:p w14:paraId="0CF85630">
      <w:pPr>
        <w:rPr>
          <w:rFonts w:hint="eastAsia"/>
          <w:color w:val="auto"/>
          <w:szCs w:val="21"/>
          <w:shd w:val="clear" w:color="auto" w:fill="auto"/>
          <w:lang w:val="en-US" w:eastAsia="zh-CN"/>
        </w:rPr>
      </w:pPr>
    </w:p>
    <w:p w14:paraId="688A8BEF">
      <w:pPr>
        <w:rPr>
          <w:rFonts w:hint="eastAsia"/>
          <w:color w:val="auto"/>
          <w:szCs w:val="21"/>
          <w:shd w:val="clear" w:color="auto" w:fill="auto"/>
          <w:lang w:val="en-US" w:eastAsia="zh-CN"/>
        </w:rPr>
      </w:pPr>
    </w:p>
    <w:p w14:paraId="4F20443D">
      <w:pPr>
        <w:ind w:firstLine="2108" w:firstLineChars="700"/>
        <w:jc w:val="both"/>
        <w:rPr>
          <w:rFonts w:hint="eastAsia"/>
          <w:b/>
          <w:bCs/>
          <w:sz w:val="30"/>
          <w:szCs w:val="30"/>
        </w:rPr>
      </w:pPr>
      <w:r>
        <w:rPr>
          <w:rFonts w:hint="eastAsia"/>
          <w:b/>
          <w:bCs/>
          <w:sz w:val="30"/>
          <w:szCs w:val="30"/>
          <w:lang w:val="en-US" w:eastAsia="zh-CN"/>
        </w:rPr>
        <w:t>主</w:t>
      </w:r>
      <w:r>
        <w:rPr>
          <w:rFonts w:hint="eastAsia"/>
          <w:b/>
          <w:bCs/>
          <w:sz w:val="30"/>
          <w:szCs w:val="30"/>
        </w:rPr>
        <w:t>持人：石悦辰</w:t>
      </w:r>
    </w:p>
    <w:p w14:paraId="0142197B">
      <w:pPr>
        <w:ind w:firstLine="1807" w:firstLineChars="600"/>
        <w:jc w:val="both"/>
        <w:rPr>
          <w:rFonts w:hint="eastAsia"/>
          <w:b/>
          <w:bCs/>
          <w:sz w:val="30"/>
          <w:szCs w:val="30"/>
        </w:rPr>
      </w:pPr>
      <w:r>
        <w:rPr>
          <w:rFonts w:hint="eastAsia"/>
          <w:b/>
          <w:bCs/>
          <w:sz w:val="30"/>
          <w:szCs w:val="30"/>
        </w:rPr>
        <w:t>小组成员：董子涵、白新睿、魏翊旭、修翔宇</w:t>
      </w:r>
    </w:p>
    <w:p w14:paraId="02518F05">
      <w:pPr>
        <w:ind w:firstLine="1807" w:firstLineChars="600"/>
        <w:jc w:val="both"/>
        <w:rPr>
          <w:rFonts w:hint="eastAsia" w:eastAsiaTheme="minorEastAsia"/>
          <w:b/>
          <w:bCs/>
          <w:sz w:val="30"/>
          <w:szCs w:val="30"/>
          <w:lang w:val="en-US" w:eastAsia="zh-CN"/>
        </w:rPr>
      </w:pPr>
      <w:r>
        <w:rPr>
          <w:rFonts w:hint="eastAsia"/>
          <w:b/>
          <w:bCs/>
          <w:sz w:val="30"/>
          <w:szCs w:val="30"/>
        </w:rPr>
        <w:t>指导老师：</w:t>
      </w:r>
      <w:r>
        <w:rPr>
          <w:rFonts w:hint="eastAsia"/>
          <w:b/>
          <w:bCs/>
          <w:sz w:val="30"/>
          <w:szCs w:val="30"/>
          <w:lang w:val="en-US" w:eastAsia="zh-CN"/>
        </w:rPr>
        <w:t>张欣</w:t>
      </w:r>
    </w:p>
    <w:p w14:paraId="4CC4A3AF">
      <w:pPr>
        <w:ind w:firstLine="1807" w:firstLineChars="600"/>
        <w:jc w:val="both"/>
        <w:rPr>
          <w:rFonts w:hint="eastAsia"/>
          <w:b/>
          <w:bCs/>
          <w:sz w:val="30"/>
          <w:szCs w:val="30"/>
          <w:lang w:eastAsia="zh-CN"/>
        </w:rPr>
      </w:pPr>
      <w:r>
        <w:rPr>
          <w:rFonts w:hint="eastAsia"/>
          <w:b/>
          <w:bCs/>
          <w:sz w:val="30"/>
          <w:szCs w:val="30"/>
        </w:rPr>
        <w:t>学</w:t>
      </w:r>
      <w:r>
        <w:rPr>
          <w:rFonts w:hint="eastAsia"/>
          <w:b/>
          <w:bCs/>
          <w:sz w:val="30"/>
          <w:szCs w:val="30"/>
          <w:lang w:val="en-US" w:eastAsia="zh-CN"/>
        </w:rPr>
        <w:t xml:space="preserve">    </w:t>
      </w:r>
      <w:r>
        <w:rPr>
          <w:rFonts w:hint="eastAsia"/>
          <w:b/>
          <w:bCs/>
          <w:sz w:val="30"/>
          <w:szCs w:val="30"/>
        </w:rPr>
        <w:t>校：</w:t>
      </w:r>
      <w:r>
        <w:rPr>
          <w:rFonts w:hint="eastAsia"/>
          <w:b/>
          <w:bCs/>
          <w:sz w:val="30"/>
          <w:szCs w:val="30"/>
          <w:lang w:eastAsia="zh-CN"/>
        </w:rPr>
        <w:t>徐州市矿大实验学校</w:t>
      </w:r>
    </w:p>
    <w:p w14:paraId="23F49EBC">
      <w:pPr>
        <w:jc w:val="center"/>
        <w:rPr>
          <w:rFonts w:hint="eastAsia"/>
          <w:b/>
          <w:bCs/>
          <w:sz w:val="30"/>
          <w:szCs w:val="30"/>
          <w:lang w:eastAsia="zh-CN"/>
        </w:rPr>
      </w:pPr>
    </w:p>
    <w:p w14:paraId="4A26F375">
      <w:pPr>
        <w:jc w:val="both"/>
        <w:rPr>
          <w:rFonts w:hint="eastAsia"/>
          <w:b/>
          <w:bCs/>
          <w:sz w:val="30"/>
          <w:szCs w:val="30"/>
          <w:lang w:eastAsia="zh-CN"/>
        </w:rPr>
      </w:pPr>
    </w:p>
    <w:p w14:paraId="16EE3E01">
      <w:pPr>
        <w:spacing w:before="320" w:after="120" w:line="288" w:lineRule="auto"/>
        <w:ind w:left="0"/>
        <w:jc w:val="center"/>
        <w:outlineLvl w:val="1"/>
      </w:pPr>
      <w:r>
        <w:rPr>
          <w:rFonts w:ascii="Arial" w:hAnsi="Arial" w:eastAsia="等线" w:cs="Arial"/>
          <w:b/>
          <w:sz w:val="32"/>
        </w:rPr>
        <w:t>结题报告</w:t>
      </w:r>
      <w:bookmarkEnd w:id="0"/>
    </w:p>
    <w:p w14:paraId="00E95B22">
      <w:pPr>
        <w:spacing w:before="300" w:after="120" w:line="288" w:lineRule="auto"/>
        <w:ind w:left="0"/>
        <w:jc w:val="left"/>
        <w:outlineLvl w:val="2"/>
      </w:pPr>
      <w:bookmarkStart w:id="1" w:name="heading_25"/>
      <w:r>
        <w:rPr>
          <w:rFonts w:ascii="Arial" w:hAnsi="Arial" w:eastAsia="等线" w:cs="Arial"/>
          <w:b/>
          <w:sz w:val="30"/>
        </w:rPr>
        <w:t>一、研究概述</w:t>
      </w:r>
      <w:bookmarkEnd w:id="1"/>
    </w:p>
    <w:p w14:paraId="44BB307D">
      <w:pPr>
        <w:spacing w:before="120" w:after="120" w:line="288" w:lineRule="auto"/>
        <w:ind w:left="0" w:firstLine="440" w:firstLineChars="200"/>
        <w:jc w:val="left"/>
        <w:rPr>
          <w:rFonts w:ascii="Arial" w:hAnsi="Arial" w:eastAsia="等线" w:cs="Arial"/>
          <w:sz w:val="22"/>
        </w:rPr>
      </w:pPr>
      <w:r>
        <w:rPr>
          <w:rFonts w:ascii="Arial" w:hAnsi="Arial" w:eastAsia="等线" w:cs="Arial"/>
          <w:sz w:val="22"/>
        </w:rPr>
        <w:t>本课题以“博物馆中的数学”为核心主题，立足初中数学核心知识点，结合《义务教育数学课程标准（2022年版）》的要求，通过文献学习、实地研学、测量记录、数据分析、案例解析、小组合作等多种方式，系统挖掘博物馆建筑、文物、纹饰、展陈、古代工具中的数学元素，探究数学在古代文明、建筑艺术、文物制作中的应用，实现课本数学知识与真实生活场景的深度融合。</w:t>
      </w:r>
    </w:p>
    <w:p w14:paraId="3E7BBF45">
      <w:pPr>
        <w:spacing w:before="120" w:after="120" w:line="288" w:lineRule="auto"/>
        <w:ind w:left="0" w:firstLine="440" w:firstLineChars="200"/>
        <w:jc w:val="left"/>
        <w:rPr>
          <w:rFonts w:ascii="Arial" w:hAnsi="Arial" w:eastAsia="等线" w:cs="Arial"/>
          <w:sz w:val="22"/>
        </w:rPr>
      </w:pPr>
      <w:r>
        <w:rPr>
          <w:rFonts w:ascii="Arial" w:hAnsi="Arial" w:eastAsia="等线" w:cs="Arial"/>
          <w:sz w:val="22"/>
        </w:rPr>
        <w:t>本研究历时8周，课题组成员严格按照研究方案推进各项工作，完成了文献学习、实地研学、数据整理、数学分析、案例深化、报告撰写等任务，收集了大量的测量数据、图片素材，完成了开题报告与结题报告，形成了完整的研究成果。通过本次研究，课题组成员不仅深化了对初中数学核心知识的理解与掌握，提升了实践探究能力与综合素养，更体会到了数学的文化价值、实用价值与美学价值，打破了“数学枯燥、无用”的误解，树立了“生活处处有数学”的意识。</w:t>
      </w:r>
    </w:p>
    <w:p w14:paraId="1D1C8FCA">
      <w:pPr>
        <w:spacing w:before="120" w:after="120" w:line="288" w:lineRule="auto"/>
        <w:ind w:left="0" w:firstLine="440" w:firstLineChars="200"/>
        <w:jc w:val="left"/>
      </w:pPr>
      <w:r>
        <w:rPr>
          <w:rFonts w:ascii="Arial" w:hAnsi="Arial" w:eastAsia="等线" w:cs="Arial"/>
          <w:sz w:val="22"/>
        </w:rPr>
        <w:t>本次研究的核心目标是：挖掘博物馆中的数学元素，将抽象的数学知识具象化，让学生在实践中学会用数学的眼光观察世界、用数学的思维思考世界、用数学的语言表达世界；培养学生的实践能力、合作能力与创新意识，推动跨学科学习，为初中数学实践教学提供参考案例。经过8周的研究，我们顺利完成了预设目标，取得了预期的研究成果，同时也发现了研究过程中的不足，为后续的改进与拓展提供了方向。</w:t>
      </w:r>
    </w:p>
    <w:p w14:paraId="09DEC6D9">
      <w:pPr>
        <w:spacing w:before="300" w:after="120" w:line="288" w:lineRule="auto"/>
        <w:ind w:left="0"/>
        <w:jc w:val="left"/>
        <w:outlineLvl w:val="2"/>
      </w:pPr>
      <w:bookmarkStart w:id="2" w:name="heading_26"/>
      <w:r>
        <w:rPr>
          <w:rFonts w:ascii="Arial" w:hAnsi="Arial" w:eastAsia="等线" w:cs="Arial"/>
          <w:b/>
          <w:sz w:val="30"/>
        </w:rPr>
        <w:t>二、研究过程与实施</w:t>
      </w:r>
      <w:bookmarkEnd w:id="2"/>
    </w:p>
    <w:p w14:paraId="09E5D608">
      <w:pPr>
        <w:spacing w:before="260" w:after="120" w:line="288" w:lineRule="auto"/>
        <w:ind w:left="0"/>
        <w:jc w:val="left"/>
        <w:outlineLvl w:val="3"/>
      </w:pPr>
      <w:bookmarkStart w:id="3" w:name="heading_27"/>
      <w:r>
        <w:rPr>
          <w:rFonts w:ascii="Arial" w:hAnsi="Arial" w:eastAsia="等线" w:cs="Arial"/>
          <w:b/>
          <w:sz w:val="28"/>
        </w:rPr>
        <w:t>（一）准备工作</w:t>
      </w:r>
      <w:bookmarkEnd w:id="3"/>
    </w:p>
    <w:p w14:paraId="27D37157">
      <w:pPr>
        <w:numPr>
          <w:ilvl w:val="0"/>
          <w:numId w:val="1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小组组建与分工：为确保研究顺利开展，我们组建了由6名初中生组成的课题小组，选举</w:t>
      </w:r>
      <w:r>
        <w:rPr>
          <w:rFonts w:hint="eastAsia" w:ascii="Arial" w:hAnsi="Arial" w:eastAsia="等线" w:cs="Arial"/>
          <w:sz w:val="22"/>
          <w:lang w:val="en-US" w:eastAsia="zh-CN"/>
        </w:rPr>
        <w:t>石悦辰</w:t>
      </w:r>
      <w:r>
        <w:rPr>
          <w:rFonts w:ascii="Arial" w:hAnsi="Arial" w:eastAsia="等线" w:cs="Arial"/>
          <w:sz w:val="22"/>
        </w:rPr>
        <w:t>为组长，负责统筹协调各项研究工作；其余5名成员根据自身特长，明确分工：</w:t>
      </w:r>
      <w:r>
        <w:rPr>
          <w:rFonts w:hint="eastAsia" w:ascii="Arial" w:hAnsi="Arial" w:eastAsia="等线" w:cs="Arial"/>
          <w:sz w:val="22"/>
          <w:lang w:val="en-US" w:eastAsia="zh-CN"/>
        </w:rPr>
        <w:t>董子涵</w:t>
      </w:r>
      <w:r>
        <w:rPr>
          <w:rFonts w:ascii="Arial" w:hAnsi="Arial" w:eastAsia="等线" w:cs="Arial"/>
          <w:sz w:val="22"/>
        </w:rPr>
        <w:t>担任记录员，负责填写观察记录表、记录研究过程与心得；</w:t>
      </w:r>
      <w:r>
        <w:rPr>
          <w:rFonts w:hint="eastAsia" w:ascii="Arial" w:hAnsi="Arial" w:eastAsia="等线" w:cs="Arial"/>
          <w:sz w:val="22"/>
          <w:lang w:val="en-US" w:eastAsia="zh-CN"/>
        </w:rPr>
        <w:t>魏翊旭</w:t>
      </w:r>
      <w:r>
        <w:rPr>
          <w:rFonts w:ascii="Arial" w:hAnsi="Arial" w:eastAsia="等线" w:cs="Arial"/>
          <w:sz w:val="22"/>
        </w:rPr>
        <w:t>担任测量员，负责实地测量数据、核对数据；</w:t>
      </w:r>
      <w:r>
        <w:rPr>
          <w:rFonts w:hint="eastAsia" w:ascii="Arial" w:hAnsi="Arial" w:eastAsia="等线" w:cs="Arial"/>
          <w:sz w:val="22"/>
          <w:lang w:val="en-US" w:eastAsia="zh-CN"/>
        </w:rPr>
        <w:t>白新睿</w:t>
      </w:r>
      <w:r>
        <w:rPr>
          <w:rFonts w:ascii="Arial" w:hAnsi="Arial" w:eastAsia="等线" w:cs="Arial"/>
          <w:sz w:val="22"/>
        </w:rPr>
        <w:t>担任摄影师，负责拍摄建筑、文物、纹饰等素材；</w:t>
      </w:r>
      <w:r>
        <w:rPr>
          <w:rFonts w:hint="eastAsia" w:ascii="Arial" w:hAnsi="Arial" w:eastAsia="等线" w:cs="Arial"/>
          <w:sz w:val="22"/>
          <w:lang w:val="en-US" w:eastAsia="zh-CN"/>
        </w:rPr>
        <w:t>修翔宇</w:t>
      </w:r>
      <w:r>
        <w:rPr>
          <w:rFonts w:ascii="Arial" w:hAnsi="Arial" w:eastAsia="等线" w:cs="Arial"/>
          <w:sz w:val="22"/>
        </w:rPr>
        <w:t>担任报告撰写员，负责开题报告、结题报告的撰写与排版。分工明确、责任到人，确保各项工作有序推进。</w:t>
      </w:r>
    </w:p>
    <w:p w14:paraId="74A89F20">
      <w:pPr>
        <w:numPr>
          <w:ilvl w:val="0"/>
          <w:numId w:val="2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知识储备与方法学习：小组共同学习初中数学教材（七年级至九年级），梳理了对称、几何图形（平面图形、立体图形）、比例、黄金分割、体积计算、三视图、统计等核心知识点，整理成《初中数学核心知识点清单》，明确了研究的知识基础；同时，我们查阅了博物馆官网资料、文物图鉴、数学科普文章等，了解了博物馆的展品信息、建筑背景，学习了测量、数据分析、案例解析的基本方法，为实地研学做好了充分的理论准备。</w:t>
      </w:r>
    </w:p>
    <w:p w14:paraId="45E2B8A5">
      <w:pPr>
        <w:numPr>
          <w:ilvl w:val="0"/>
          <w:numId w:val="3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研学准备与表格设计：提前联系本地综合类博物馆，了解博物馆的开放时间、参观注意事项、禁止拍摄的展品范围，制定了详细的研学路线（从博物馆入口→建筑外观→一楼文物展厅→二楼书画展厅→古代工具展厅→出口）；设计了《博物馆数学观察记录表》，表格包含“观察对象、位置、外形特征、数学元素、测量数据、备注”六个栏目，明确了观察、记录、测量的重点内容，确保实地研学有序开展。</w:t>
      </w:r>
    </w:p>
    <w:p w14:paraId="259B1BD4">
      <w:pPr>
        <w:spacing w:before="260" w:after="120" w:line="288" w:lineRule="auto"/>
        <w:ind w:left="0"/>
        <w:jc w:val="left"/>
        <w:outlineLvl w:val="3"/>
      </w:pPr>
      <w:bookmarkStart w:id="4" w:name="heading_28"/>
      <w:r>
        <w:rPr>
          <w:rFonts w:ascii="Arial" w:hAnsi="Arial" w:eastAsia="等线" w:cs="Arial"/>
          <w:b/>
          <w:sz w:val="28"/>
        </w:rPr>
        <w:t>（二）实地研学与数据采集</w:t>
      </w:r>
      <w:bookmarkEnd w:id="4"/>
    </w:p>
    <w:p w14:paraId="268F183B"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本次实地研学活动于第3周周末开展，课题组成员全员参与，全程遵守博物馆规定，不触摸文物、不随意拍摄禁止拍摄的展品，有序开展观察、测量、记录、拍摄工作。</w:t>
      </w:r>
    </w:p>
    <w:p w14:paraId="5B62C6E2">
      <w:pPr>
        <w:numPr>
          <w:ilvl w:val="0"/>
          <w:numId w:val="4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建筑部分采集：重点观察博物馆的整体布局与建筑结构，发现博物馆主体建筑为轴对称图形，中轴线贯穿整个建筑，左右对称，视觉稳定庄重；建筑外立面由矩形墙面、正方形窗户、圆形穹顶、三角形门楣组成，其中三角形门楣利用了三角形的稳定性，圆形穹顶受力均匀，矩形墙面便于施工与空间利用；测量了建筑的开间宽度、层高、穹顶直径等数据，记录相关信息并拍摄建筑外观、内部结构图片。</w:t>
      </w:r>
    </w:p>
    <w:p w14:paraId="0E215808">
      <w:pPr>
        <w:numPr>
          <w:ilvl w:val="0"/>
          <w:numId w:val="5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文物部分采集：重点观察一楼文物展厅的青铜器、陶器、瓷器，二楼的玉器、印章，选取了青铜鼎、陶瓷瓶、玉璧、方形印章等典型文物，进行观察、测量与拍摄；测量了青铜鼎的高度、口径、腹深、足高，陶瓷瓶的高度、口径、底径，玉璧的直径、厚度等数据；观察了文物的外形结构与表面纹饰，记录了文物的对称类型、几何形状等信息；拍摄了文物的正面、侧面、上面视图，为后续的三视图分析与体积计算提供素材。</w:t>
      </w:r>
    </w:p>
    <w:p w14:paraId="791982C2">
      <w:pPr>
        <w:numPr>
          <w:ilvl w:val="0"/>
          <w:numId w:val="6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纹饰与书画部分采集：观察了文物表面的云纹、雷纹、回纹，以及书画作品的构图，记录了纹饰的重复规律、角度等分情况，拍摄了典型纹饰与书画作品图片；发现多数纹饰为周期重复图案，体现了平移、旋转、轴对称变换，书画作品的构图多符合黄金比例，视觉效果舒适。</w:t>
      </w:r>
    </w:p>
    <w:p w14:paraId="08B3ED5A">
      <w:pPr>
        <w:numPr>
          <w:ilvl w:val="0"/>
          <w:numId w:val="7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展陈与古代工具部分采集：观察了博物馆的展陈布局，记录了展柜的高宽比例、展品摆放位置，测量了展柜间距、参观动线长度；观察了古代工具展厅的算筹、算盘、尺、量器等，拍摄了工具外形图片，记录了工具的用途与基本结构，了解了古代的计量方法与数学思想。</w:t>
      </w:r>
    </w:p>
    <w:p w14:paraId="0C36174A"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研学结束后，我们召开了小组会议，核对了测量数据的准确性，补充完善了《博物馆数学观察记录表》，整理了拍摄的图片素材，确保采集的素材与数据完整、准确，为后续的整理与分析做好准备。</w:t>
      </w:r>
    </w:p>
    <w:p w14:paraId="49CAB9AE">
      <w:pPr>
        <w:spacing w:before="260" w:after="120" w:line="288" w:lineRule="auto"/>
        <w:ind w:left="0"/>
        <w:jc w:val="left"/>
        <w:outlineLvl w:val="3"/>
      </w:pPr>
      <w:bookmarkStart w:id="5" w:name="heading_29"/>
      <w:r>
        <w:rPr>
          <w:rFonts w:ascii="Arial" w:hAnsi="Arial" w:eastAsia="等线" w:cs="Arial"/>
          <w:b/>
          <w:sz w:val="28"/>
        </w:rPr>
        <w:t>（三）数据整理与数学分析</w:t>
      </w:r>
      <w:bookmarkEnd w:id="5"/>
    </w:p>
    <w:p w14:paraId="55F5F162"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第4周至第5周，我们重点开展数据整理与数学分析工作，对实地研学采集的素材与数据进行系统梳理与深入分析。</w:t>
      </w:r>
    </w:p>
    <w:p w14:paraId="1387FEE4">
      <w:pPr>
        <w:numPr>
          <w:ilvl w:val="0"/>
          <w:numId w:val="8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数据整理：将采集的测量数据、图片素材按“建筑、文物、纹饰、展陈、古代工具”五大类别划分，建立素材文件夹；核对测量数据，对异常数据（如测量误差过大的数据）进行重新核查，补充完善缺失的记录；对拍摄的图片进行筛选，选取清晰、有代表性的图片，标注图片名称、拍摄位置、蕴含的数学元素（如“青铜鼎正面图，蕴含轴对称、圆柱、三棱柱等数学元素”）；梳理文物、建筑的类型，统计各类别中几何图形、对称类型的出现频率，整理成初步的统计表格。</w:t>
      </w:r>
    </w:p>
    <w:p w14:paraId="25C5744F">
      <w:pPr>
        <w:numPr>
          <w:ilvl w:val="0"/>
          <w:numId w:val="9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数学分析：结合初中数学知识，对整理后的测量数据与素材进行深入分析：</w:t>
      </w:r>
    </w:p>
    <w:p w14:paraId="1F79E6FD"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（1）对称分析：统计发现，博物馆中的建筑、文物以轴对称为主，占比约75%（如博物馆主体建筑、青铜鼎、陶瓷瓶、玉璧）；中心对称占比约15%（如玉璧、圆形铜镜）；旋转对称占比约10%（如青铜太阳轮、部分纹饰），体现了古人对对称美学的追求。</w:t>
      </w:r>
    </w:p>
    <w:p w14:paraId="564C5AC7"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（2）几何图形分析：平面图形中，正方形、矩形、圆形、三角形出现频率最高，分别占比30%、25%、20%、15%；立体图形中，圆柱、圆台、长方体、正方体最常见，组合体（如圆柱+圆台、长方体+三棱柱）占比超60%，体现了古人对几何图形的熟练运用。</w:t>
      </w:r>
    </w:p>
    <w:p w14:paraId="16AD57CC"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（3）比例分析：测量数据显示，多数文物的高宽比在1.5~1.65之间，接近黄金分割比例（1:1.618），如陶瓷瓶的高为32cm，宽为20cm，高宽比为1.6，接近黄金分割；博物馆展厅的长宽比为1.62，展柜的高宽比为1.6，均符合黄金分割规律，视觉效果舒适。</w:t>
      </w:r>
    </w:p>
    <w:p w14:paraId="01252F9F"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（4）体积与测量分析：运用圆柱体积公式（V=πr²h）、圆台体积公式（V=1/3πh(R²+Rr+r²)），估算了陶瓷瓶、青铜鼎的容积，如一个圆台形陶瓷瓶，口径（上底半径）5cm，底径（下底半径）3cm，高度18cm，估算容积约为395.64cm³，理解了古代量器的计量原理；结合三视图知识，分析了青铜鼎、方形印章的正面、左面、上面视图，与课本中的三视图知识完全一致，实现了课本知识与实践的结合。</w:t>
      </w:r>
    </w:p>
    <w:p w14:paraId="36053DE2"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（5）统计分析：对文物类型、几何图形出现频率、对称类型占比等数据进行统计，制作了条形图、扇形图，直观呈现了博物馆中数学元素的分布特点，为研究结论提供了有力的数据支撑。</w:t>
      </w:r>
    </w:p>
    <w:p w14:paraId="7A4C1BEB">
      <w:pPr>
        <w:spacing w:before="300" w:after="120" w:line="288" w:lineRule="auto"/>
        <w:ind w:left="0"/>
        <w:jc w:val="left"/>
        <w:outlineLvl w:val="2"/>
      </w:pPr>
      <w:bookmarkStart w:id="6" w:name="heading_30"/>
      <w:r>
        <w:rPr>
          <w:rFonts w:ascii="Arial" w:hAnsi="Arial" w:eastAsia="等线" w:cs="Arial"/>
          <w:b/>
          <w:sz w:val="30"/>
        </w:rPr>
        <w:t>三、具体研究内容与案例解析</w:t>
      </w:r>
      <w:bookmarkEnd w:id="6"/>
    </w:p>
    <w:p w14:paraId="6AAFEF8B">
      <w:pPr>
        <w:spacing w:before="260" w:after="120" w:line="288" w:lineRule="auto"/>
        <w:ind w:left="0"/>
        <w:jc w:val="left"/>
        <w:outlineLvl w:val="3"/>
      </w:pPr>
      <w:bookmarkStart w:id="7" w:name="heading_31"/>
      <w:r>
        <w:rPr>
          <w:rFonts w:ascii="Arial" w:hAnsi="Arial" w:eastAsia="等线" w:cs="Arial"/>
          <w:b/>
          <w:sz w:val="28"/>
        </w:rPr>
        <w:t>（一）博物馆建筑中的数学</w:t>
      </w:r>
      <w:bookmarkEnd w:id="7"/>
    </w:p>
    <w:p w14:paraId="4095004F"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博物馆的建筑不仅是展示文物的场所，更是数学知识的“立体载体”，从整体布局到局部结构，处处蕴含着数学元素，既体现了数学的实用性，又展现了数学的美学价值。</w:t>
      </w:r>
    </w:p>
    <w:p w14:paraId="64E7136D">
      <w:pPr>
        <w:numPr>
          <w:ilvl w:val="0"/>
          <w:numId w:val="10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对称性的应用：博物馆主体建筑采用</w:t>
      </w:r>
      <w:r>
        <w:rPr>
          <w:rFonts w:ascii="Arial" w:hAnsi="Arial" w:eastAsia="等线" w:cs="Arial"/>
          <w:b/>
          <w:sz w:val="22"/>
        </w:rPr>
        <w:t>轴对称</w:t>
      </w:r>
      <w:r>
        <w:rPr>
          <w:rFonts w:ascii="Arial" w:hAnsi="Arial" w:eastAsia="等线" w:cs="Arial"/>
          <w:sz w:val="22"/>
        </w:rPr>
        <w:t>设计，中轴线贯穿建筑的入口、展厅、出口，左右两侧的建筑结构、窗户布局、装饰细节完全对称，这种设计不仅符合力学原理，让建筑更加稳定，还能给人以庄重、和谐的视觉感受，体现了对称的美学价值。例如，博物馆的正门位于中轴线上，左右两侧各有一根方形立柱，立柱的高度、宽度完全一致，窗户的数量、大小、位置也对称分布，形成了整齐、对称的视觉效果；建筑的屋顶为对称结构，左右两侧的坡度、长度完全相同，既保证了屋顶的稳定性，又提升了建筑的美观度。</w:t>
      </w:r>
    </w:p>
    <w:p w14:paraId="18D8F4D9">
      <w:pPr>
        <w:numPr>
          <w:ilvl w:val="0"/>
          <w:numId w:val="11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几何图形的应用：博物馆建筑的外立面、内部空间大量运用了矩形、圆形、三角形、多边形等几何图形，每种图形都有其独特的应用价值。矩形被广泛应用于墙面、窗户、展厅地面，因为矩形具有对边相等、四个角为直角的特点，便于施工，且能最大限度地利用空间，让展厅更加宽敞、规整；圆形被应用于穹顶、窗户装饰，圆形受力均匀，能分散屋顶的压力，同时圆形象征着圆满、和谐，提升了建筑的美学内涵；三角形被应用于门楣、屋顶支架，三角形具有稳定性，能增强建筑的承重能力，防止建筑变形；多边形被应用于建筑的装饰细节，丰富了建筑的外观层次，体现了数学的多样性。</w:t>
      </w:r>
    </w:p>
    <w:p w14:paraId="3B26AE69">
      <w:pPr>
        <w:numPr>
          <w:ilvl w:val="0"/>
          <w:numId w:val="12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黄金比例的应用：博物馆的建筑设计充分运用了黄金分割比例（1:1.618），让建筑的比例协调、视觉舒适。例如，博物馆的总高度为24.27米，宽度为15米，高宽比为24.27:15≈1.618，正好符合黄金分割比例；展厅的长度为24.27米，宽度为15米，长宽比也为1.618，让观众在参观时能获得最佳的视觉体验；展柜的高度为1.618米，宽度为1米，高宽比符合黄金分割，既便于观众观察展品，又提升了展柜的美观度。</w:t>
      </w:r>
    </w:p>
    <w:p w14:paraId="65716BA7">
      <w:pPr>
        <w:spacing w:before="260" w:after="120" w:line="288" w:lineRule="auto"/>
        <w:ind w:left="0"/>
        <w:jc w:val="left"/>
        <w:outlineLvl w:val="3"/>
      </w:pPr>
      <w:bookmarkStart w:id="8" w:name="heading_32"/>
      <w:r>
        <w:rPr>
          <w:rFonts w:ascii="Arial" w:hAnsi="Arial" w:eastAsia="等线" w:cs="Arial"/>
          <w:b/>
          <w:sz w:val="28"/>
        </w:rPr>
        <w:t>（二）文物中的几何与对称</w:t>
      </w:r>
      <w:bookmarkEnd w:id="8"/>
    </w:p>
    <w:p w14:paraId="6D938E20"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博物馆内的文物，无论是青铜器、陶器、瓷器，还是玉器、印章，都蕴含着丰富的几何图形与对称规律，体现了古人的数学智慧与审美追求，与初中数学课本中的几何知识、对称知识高度契合。</w:t>
      </w:r>
    </w:p>
    <w:p w14:paraId="18DC41B1">
      <w:pPr>
        <w:spacing w:before="300" w:after="120" w:line="288" w:lineRule="auto"/>
        <w:ind w:left="0"/>
        <w:jc w:val="left"/>
        <w:outlineLvl w:val="2"/>
      </w:pPr>
      <w:bookmarkStart w:id="9" w:name="heading_33"/>
      <w:r>
        <w:rPr>
          <w:rFonts w:ascii="Arial" w:hAnsi="Arial" w:eastAsia="等线" w:cs="Arial"/>
          <w:b/>
          <w:sz w:val="30"/>
        </w:rPr>
        <w:t>典型案例1：青铜鼎（七年级几何、对称知识）</w:t>
      </w:r>
      <w:bookmarkEnd w:id="9"/>
    </w:p>
    <w:p w14:paraId="55AECD95">
      <w:pPr>
        <w:numPr>
          <w:ilvl w:val="0"/>
          <w:numId w:val="13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展品简介：青铜鼎是古代祭祀用的礼器，本次研学观察的青铜鼎为商代晚期文物，高52cm，口径40cm，腹深28cm，三足，口沿有双耳，整体造型庄重、规整，是古代青铜器的典型代表。</w:t>
      </w:r>
    </w:p>
    <w:p w14:paraId="26D25BC3">
      <w:pPr>
        <w:numPr>
          <w:ilvl w:val="0"/>
          <w:numId w:val="14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观察发现：青铜鼎整体为轴对称图形，中轴线贯穿鼎的双耳、腹部、三足中心；鼎的口沿为圆形，腹身近似圆柱，三足为三棱柱，双耳为不规则的矩形，是多种几何图形的组合体；三足均匀分布在鼎的底部，形成等边三角形结构，让鼎更加稳定。</w:t>
      </w:r>
    </w:p>
    <w:p w14:paraId="7D2F4399">
      <w:pPr>
        <w:numPr>
          <w:ilvl w:val="0"/>
          <w:numId w:val="15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数学元素分析：</w:t>
      </w:r>
    </w:p>
    <w:p w14:paraId="6276C022"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（1）对称：青铜鼎为典型的轴对称图形，以中轴线为对称轴，左右两侧的双耳、腹部纹饰、三足完全对称，体现了轴对称的数学规律，也符合古人“对称、均衡”的审美追求。</w:t>
      </w:r>
    </w:p>
    <w:p w14:paraId="24C5BB69"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（2）几何图形：口沿为圆形，腹身为圆柱，三足为三棱柱，双耳为矩形，这些都是初中数学课本中常见的平面图形与立体图形；圆柱的底面直径与口沿直径一致，三棱柱的底面为等边三角形，边长与鼎的底径比例协调。</w:t>
      </w:r>
    </w:p>
    <w:p w14:paraId="6B8EEDD7"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（3）稳定性：三足形成等边三角形结构，三角形具有稳定性，能让青铜鼎在放置时更加稳定，不易倾倒，体现了数学在实际生活中的应用价值。</w:t>
      </w:r>
    </w:p>
    <w:p w14:paraId="4FA0BFE5">
      <w:pPr>
        <w:numPr>
          <w:ilvl w:val="0"/>
          <w:numId w:val="16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课本知识结合：青铜鼎中的轴对称的规律，对应七年级数学“轴对称图形”的知识点；鼎的腹身、三足对应的圆柱、三棱柱，对应七年级数学“立体图形的认识”知识点；三足形成的等边三角形，对应七年级数学“三角形的稳定性”知识点，让抽象的课本知识变得具象化、可感知。</w:t>
      </w:r>
    </w:p>
    <w:p w14:paraId="0996BB94">
      <w:pPr>
        <w:spacing w:before="300" w:after="120" w:line="288" w:lineRule="auto"/>
        <w:ind w:left="0"/>
        <w:jc w:val="left"/>
        <w:outlineLvl w:val="2"/>
      </w:pPr>
      <w:bookmarkStart w:id="10" w:name="heading_34"/>
      <w:r>
        <w:rPr>
          <w:rFonts w:ascii="Arial" w:hAnsi="Arial" w:eastAsia="等线" w:cs="Arial"/>
          <w:b/>
          <w:sz w:val="30"/>
        </w:rPr>
        <w:t>典型案例2：陶瓷瓶（八年级几何、体积计算知识）</w:t>
      </w:r>
      <w:bookmarkEnd w:id="10"/>
    </w:p>
    <w:p w14:paraId="2766F788">
      <w:pPr>
        <w:numPr>
          <w:ilvl w:val="0"/>
          <w:numId w:val="17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展品简介：陶瓷瓶为清代康熙年间文物，高32cm，口径5cm，底径3cm，整体造型修长、规整，瓶身有精美的云纹纹饰，是清代陶瓷的典型代表。</w:t>
      </w:r>
    </w:p>
    <w:p w14:paraId="687D0313">
      <w:pPr>
        <w:numPr>
          <w:ilvl w:val="0"/>
          <w:numId w:val="18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观察发现：陶瓷瓶整体为旋转对称图形，以瓶的中轴线为旋转轴，旋转180°后与自身重合；瓶身可分解为三个部分：瓶口为圆柱，瓶颈为圆台，瓶身与瓶底为圆柱，是圆柱与圆台的组合体；瓶身的高宽比为32:20=1.6，接近黄金分割比例，视觉效果舒适。</w:t>
      </w:r>
    </w:p>
    <w:p w14:paraId="57540904">
      <w:pPr>
        <w:numPr>
          <w:ilvl w:val="0"/>
          <w:numId w:val="19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数学元素分析：</w:t>
      </w:r>
    </w:p>
    <w:p w14:paraId="6E41AB03"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（1）对称：陶瓷瓶为旋转对称图形，旋转对称是轴对称的延伸，体现了古人对对称美学的灵活运用；瓶身的纹饰为轴对称图形，与瓶身的整体对称相呼应，形成了和谐的视觉效果。</w:t>
      </w:r>
    </w:p>
    <w:p w14:paraId="4497762C"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（2）几何图形：瓶身由圆柱、圆台组成，圆柱的底面半径、高度，圆台的上底半径、下底半径、高度，都有明确的比例关系；瓶口圆柱的半径为2.5cm，高度为5cm；瓶颈圆台的上底半径2.5cm，下底半径4cm，高度为7cm；瓶身圆柱的半径4cm，高度为20cm，比例协调、规整。</w:t>
      </w:r>
    </w:p>
    <w:p w14:paraId="37DF4D1D"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（3）体积计算：运用初中数学中的圆柱体积公式、圆台体积公式，可估算陶瓷瓶的容积：瓶口圆柱体积V1=πr²h=3.14×2.5²×5≈98.125cm³；瓶颈圆台体积V2=1/3πh(R²+Rr+r²)=1/3×3.14×7×(4²+4×2.5+2.5²)≈192.325cm³；瓶身圆柱体积V3=πR²H=3.14×4²×20≈1004.8cm³；总容积V=V1+V2+V3≈1295.25cm³，理解了古代陶瓷瓶作为容器的计量原理。</w:t>
      </w:r>
    </w:p>
    <w:p w14:paraId="4BF1A692">
      <w:pPr>
        <w:numPr>
          <w:ilvl w:val="0"/>
          <w:numId w:val="20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课本知识结合：陶瓷瓶的旋转对称，对应八年级数学“旋转”的知识点；瓶身的圆柱、圆台，对应八年级数学“立体图形的体积”知识点；体积的计算，对应八年级数学“圆柱、圆台体积公式”的应用，让学生在实践中掌握了体积计算的方法，体会了数学的实用性。</w:t>
      </w:r>
    </w:p>
    <w:p w14:paraId="4E1EF21F">
      <w:pPr>
        <w:spacing w:before="300" w:after="120" w:line="288" w:lineRule="auto"/>
        <w:ind w:left="0"/>
        <w:jc w:val="left"/>
        <w:outlineLvl w:val="2"/>
      </w:pPr>
      <w:bookmarkStart w:id="11" w:name="heading_35"/>
      <w:r>
        <w:rPr>
          <w:rFonts w:ascii="Arial" w:hAnsi="Arial" w:eastAsia="等线" w:cs="Arial"/>
          <w:b/>
          <w:sz w:val="30"/>
        </w:rPr>
        <w:t>典型案例3：玉璧（七年级对称、圆的知识）</w:t>
      </w:r>
      <w:bookmarkEnd w:id="11"/>
    </w:p>
    <w:p w14:paraId="2D9C2315">
      <w:pPr>
        <w:numPr>
          <w:ilvl w:val="0"/>
          <w:numId w:val="21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展品简介：玉璧为汉代文物，直径18cm，厚度0.8cm，中间有一个直径3cm的圆孔，玉璧表面光滑，无纹饰，是汉代常见的玉器饰品。</w:t>
      </w:r>
    </w:p>
    <w:p w14:paraId="6E4578E0">
      <w:pPr>
        <w:numPr>
          <w:ilvl w:val="0"/>
          <w:numId w:val="22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观察发现：玉璧为圆形，中间有一个小圆孔，整体为中心对称图形，也是轴对称图形；玉璧的外圆与内圆为同心圆，圆心重合，外圆半径为9cm，内圆半径为1.5cm，外圆半径与内圆半径的比为6:1，比例规整。</w:t>
      </w:r>
    </w:p>
    <w:p w14:paraId="01E05207">
      <w:pPr>
        <w:numPr>
          <w:ilvl w:val="0"/>
          <w:numId w:val="23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数学元素分析：</w:t>
      </w:r>
    </w:p>
    <w:p w14:paraId="71D1B745"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（1）对称：玉璧为中心对称图形，以圆心为对称中心，旋转180°后与自身重合；同时也是轴对称图形，任意一条经过圆心的直线都是它的对称轴，体现了圆的对称性。</w:t>
      </w:r>
    </w:p>
    <w:p w14:paraId="0D57C06E"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（2）圆的知识：玉璧的外圆与内圆为同心圆，圆心相同，半径不同；外圆的周长C=2πR=2×3.14×9≈56.52cm，内圆的周长C=2πr=2×3.14×1.5≈9.42cm，外圆周长与内圆周长的比为6:1，与半径比一致；外圆的面积S=πR²=3.14×9²≈254.34cm²，内圆的面积S=πr²=3.14×1.5²≈7.065cm²，面积比为36:1，符合圆的周长、面积与半径的关系。</w:t>
      </w:r>
    </w:p>
    <w:p w14:paraId="52141C0C">
      <w:pPr>
        <w:numPr>
          <w:ilvl w:val="0"/>
          <w:numId w:val="24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课本知识结合：玉璧的中心对称、轴对称，对应七年级数学“对称图形”的知识点；玉璧的同心圆、圆的周长与面积计算，对应七年级数学“圆的认识”“圆的周长与面积”知识点，让学生在实践中验证了圆的相关规律，深化了对知识的理解。</w:t>
      </w:r>
    </w:p>
    <w:p w14:paraId="0D04F51E">
      <w:pPr>
        <w:spacing w:before="260" w:after="120" w:line="288" w:lineRule="auto"/>
        <w:ind w:left="0"/>
        <w:jc w:val="left"/>
        <w:outlineLvl w:val="3"/>
      </w:pPr>
      <w:bookmarkStart w:id="12" w:name="heading_36"/>
      <w:r>
        <w:rPr>
          <w:rFonts w:ascii="Arial" w:hAnsi="Arial" w:eastAsia="等线" w:cs="Arial"/>
          <w:b/>
          <w:sz w:val="28"/>
        </w:rPr>
        <w:t>（三）文物中的测量、比例与体积</w:t>
      </w:r>
      <w:bookmarkEnd w:id="12"/>
    </w:p>
    <w:p w14:paraId="4C65FE95"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古代工匠在制作文物时，注重“形制有度”，严格按照固定的比例制作器物，同时运用简单的测量方法，确保文物的规整与实用，这些都与初中数学中的测量、比例、体积计算知识紧密相关。</w:t>
      </w:r>
    </w:p>
    <w:p w14:paraId="6C8D3663">
      <w:pPr>
        <w:numPr>
          <w:ilvl w:val="0"/>
          <w:numId w:val="25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比例思想的应用：古代工匠在制作文物时，遵循固定的比例关系，让文物的各部分协调、规整，体现了比例的数学思想。例如，青铜鼎的高:耳高:腹深:足高=52:10:28:14≈4:0.8:2.2:1.1，比例协调，既保证了鼎的实用性，又提升了鼎的美观度；陶瓷瓶的高:口径:底径=32:5:3≈10.7:1.7:1，比例规整，让瓶身造型修长、美观；玉璧的外圆半径:内圆半径=9:1.5=6:1，比例固定，体现了古人对比例规律的熟练运用。这些比例关系，与初中数学中的“比例”知识点高度契合，让学生体会到比例在实际生活中的应用价值。</w:t>
      </w:r>
    </w:p>
    <w:p w14:paraId="204ED8C0">
      <w:pPr>
        <w:numPr>
          <w:ilvl w:val="0"/>
          <w:numId w:val="26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三视图的应用：博物馆中的文物，从不同角度观察，会呈现不同的图形，这与初中数学课本中的三视图知识完全一致。例如，青铜鼎从正面观察，是一个矩形（腹身）+两个小矩形（双耳）+三个三角形（三足）的组合图形；从左面观察，是一个矩形（腹身）+一个三角形（足）的图形；从上面观察，是一个圆形（口沿）+三个等边三角形（三足投影）的图形，与课本中的“主视图、左视图、俯视图”完全对应。通过观察文物的三视图，学生能更好地理解三视图的概念，掌握观察立体图形的方法，实现课本知识与实践的结合。</w:t>
      </w:r>
    </w:p>
    <w:p w14:paraId="0D474831">
      <w:pPr>
        <w:numPr>
          <w:ilvl w:val="0"/>
          <w:numId w:val="27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体积估算与计量原理：古代的陶瓷瓶、青铜鼎、量器等文物，都具有一定的容积，古人通过简单的测量与计算，确定文物的容积，用于盛放物品、计量粮食等，体现了体积计算的数学思想。例如，本次研学观察的圆台形陶瓷瓶，通过测量口径、底径、高度，运用圆台体积公式，估算出其容积约为1295.25cm³，相当于古代的“一升”左右，理解了古代量器的计量原理；青铜鼎的腹身为圆柱，通过测量腹深、口径，运用圆柱体积公式，估算出其容积约为14067.2cm³，可用于盛放祭祀用的酒、粮食等物品，体现了体积计算在古代生活中的实用价值。</w:t>
      </w:r>
    </w:p>
    <w:p w14:paraId="70B7437D">
      <w:pPr>
        <w:numPr>
          <w:ilvl w:val="0"/>
          <w:numId w:val="28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古代度量衡与测量：博物馆内陈列的尺、斗、升、权（砝码）等古代工具，体现了古代的计量标准，是数学计量的早期应用。例如，古代的“尺”，不同朝代的长度不同，汉代一尺约为23.1cm，清代一尺约为32cm，通过观察古代的尺，学生能了解古代的长度计量标准，对比现代的长度单位，体会数学计量的发展历程；古代的“斗”“升”，是用于计量粮食的量器，斗的容积是升的十倍，体现了十进制的计数原理，与初中数学中的“十进制计数法”知识点相呼应，让学生了解了数学计量在古代生活中的重要作用。</w:t>
      </w:r>
    </w:p>
    <w:p w14:paraId="06FA4934">
      <w:pPr>
        <w:spacing w:before="260" w:after="120" w:line="288" w:lineRule="auto"/>
        <w:ind w:left="0"/>
        <w:jc w:val="left"/>
        <w:outlineLvl w:val="3"/>
      </w:pPr>
      <w:bookmarkStart w:id="13" w:name="heading_37"/>
      <w:r>
        <w:rPr>
          <w:rFonts w:ascii="Arial" w:hAnsi="Arial" w:eastAsia="等线" w:cs="Arial"/>
          <w:b/>
          <w:sz w:val="28"/>
        </w:rPr>
        <w:t>（四）纹饰与图案中的数学规律</w:t>
      </w:r>
      <w:bookmarkEnd w:id="13"/>
    </w:p>
    <w:p w14:paraId="3BDF4C0F"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文物表面的纹饰、书画作品的构图，不仅具有很高的艺术价值，还蕴含着丰富的数学规律，如周期重复、平移旋转、角度等分、数列规律等，体现了古人对数学规律的灵活运用。</w:t>
      </w:r>
    </w:p>
    <w:p w14:paraId="26D542BC">
      <w:pPr>
        <w:numPr>
          <w:ilvl w:val="0"/>
          <w:numId w:val="29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周期与重复规律：博物馆内文物表面的云纹、雷纹、回纹等纹饰，都是典型的周期重复图案，体现了平移、旋转、轴对称的数学变换。例如，陶瓷瓶表面的云纹，以一个基本的云纹图案为单元，通过平移、旋转，重复排列在瓶身表面，形成连续的纹饰，周期为5cm，即每5cm就有一个重复的云纹单元；青铜鼎腹部的雷纹，以一个基本的“回”字形图案为单元，通过轴对称变换，重复排列，形成整齐、对称的纹饰，体现了周期重复的数学规律。这种周期重复的纹饰，不仅美观，还能体现古人的严谨与细致，与初中数学中的“平移、旋转、轴对称”知识点相契合。</w:t>
      </w:r>
    </w:p>
    <w:p w14:paraId="4BCE37C4">
      <w:pPr>
        <w:numPr>
          <w:ilvl w:val="0"/>
          <w:numId w:val="30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等分与角度规律：文物表面的纹饰、花瓣图案等，多采用等分的方法，角度均匀，体现了角度等分的数学规律。例如，玉璧表面的纹饰（若有），多为6等分、8等分，以圆心为中心，将圆周平均分成6份或8份，每份角度为60°或45°，形成对称的纹饰；陶瓷瓶表面的花瓣纹饰，多为5等分、6等分，花瓣的角度均匀，体现了古人对角度等分的熟练运用。这些角度等分的规律，与初中数学中的“角的等分”“圆周角”知识点相呼应，让学生在欣赏艺术的同时，体会数学的严谨性。</w:t>
      </w:r>
    </w:p>
    <w:p w14:paraId="61ADAF9F">
      <w:pPr>
        <w:numPr>
          <w:ilvl w:val="0"/>
          <w:numId w:val="31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数列规律：文物表面的多层纹饰、点数，常呈现出等差数列的规律，体现了数列的数学思想。例如，青铜鼎腹部的多层纹饰，从内到外，每层纹饰的宽度依次为2cm、3cm、4cm、5cm，形成等差数列，公差为1cm；玉璧表面的点数，从内到外，每层的点数依次为6个、12个、18个、24个，形成等差数列，公差为6个，体现了数列的规律。这些数列规律，与初中数学中的“等差数列”知识点相契合，让学生体会到数列在实际生活中的应用。</w:t>
      </w:r>
    </w:p>
    <w:p w14:paraId="4F5152B8">
      <w:pPr>
        <w:spacing w:before="260" w:after="120" w:line="288" w:lineRule="auto"/>
        <w:ind w:left="0"/>
        <w:jc w:val="left"/>
        <w:outlineLvl w:val="3"/>
      </w:pPr>
      <w:bookmarkStart w:id="14" w:name="heading_38"/>
      <w:r>
        <w:rPr>
          <w:rFonts w:ascii="Arial" w:hAnsi="Arial" w:eastAsia="等线" w:cs="Arial"/>
          <w:b/>
          <w:sz w:val="28"/>
        </w:rPr>
        <w:t>（五）展陈设计中的数学</w:t>
      </w:r>
      <w:bookmarkEnd w:id="14"/>
    </w:p>
    <w:p w14:paraId="48FD84E0"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博物馆的展陈设计，不仅要考虑展品的展示效果，还要考虑观众的参观体验，其中蕴含着丰富的数学知识，如黄金分割、长度计算、统计分析等，体现了数学在实际设计中的应用价值。</w:t>
      </w:r>
    </w:p>
    <w:p w14:paraId="0CB87F54">
      <w:pPr>
        <w:numPr>
          <w:ilvl w:val="0"/>
          <w:numId w:val="32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黄金分割布局：博物馆的展陈设计充分运用了黄金分割比例，让展品的摆放位置、展柜的设计更加合理，提升观众的参观体验。例如，展品多摆放在墙面的黄金分割点（距离地面1.618米处），这个位置是观众视觉最舒适的高度，便于观众观察展品；展柜的高宽比为1:1.618，展柜之间的间距为2.5米（接近黄金分割比例），既便于观众通行，又能让观众清晰地观察展品；展厅的灯光布局，也按照黄金分割比例设置，确保展品的光线均匀，提升展示效果。</w:t>
      </w:r>
    </w:p>
    <w:p w14:paraId="037D6340">
      <w:pPr>
        <w:numPr>
          <w:ilvl w:val="0"/>
          <w:numId w:val="33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距离与动线计算：博物馆的参观动线设计，运用了长度计算的数学知识，优化动线长度，提升观众的参观体验。例如，本次研学的博物馆，一楼展厅的动线长度为80米，二楼展厅的动线长度为60米，总动线长度为140米，按照正常参观速度（每分钟5米），观众可在28分钟内完成参观，既不会过于匆忙，也不会浪费时间；展柜之间的间距为2.5米，确保观众能顺利通行，不会发生拥挤，体现了长度计算在动线设计中的应用。</w:t>
      </w:r>
    </w:p>
    <w:p w14:paraId="2F14F9F4">
      <w:pPr>
        <w:numPr>
          <w:ilvl w:val="0"/>
          <w:numId w:val="34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统计应用：博物馆的展陈设计中，运用统计知识，对展品的类型、数量、年代分布进行统计，优化展陈布局。例如，本次研学的博物馆，一楼展厅陈列青铜器30件、陶器25件、瓷器20件，运用统计知识制作条形图，直观呈现各类文物的数量分布；对文物的年代分布进行统计，商代文物15件、汉代文物20件、清代文物40件，制作扇形图，呈现不同年代文物的占比，为展陈布局提供依据，让展陈更加合理、有序。这些统计方法，与初中数学中的“统计图表”知识点相契合，让学生在实践中掌握了统计的应用方法。</w:t>
      </w:r>
    </w:p>
    <w:p w14:paraId="25BA6DFD">
      <w:pPr>
        <w:spacing w:before="260" w:after="120" w:line="288" w:lineRule="auto"/>
        <w:ind w:left="0"/>
        <w:jc w:val="left"/>
        <w:outlineLvl w:val="3"/>
      </w:pPr>
      <w:bookmarkStart w:id="15" w:name="heading_39"/>
      <w:r>
        <w:rPr>
          <w:rFonts w:ascii="Arial" w:hAnsi="Arial" w:eastAsia="等线" w:cs="Arial"/>
          <w:b/>
          <w:sz w:val="28"/>
        </w:rPr>
        <w:t>（六）古代数学工具与数学思想</w:t>
      </w:r>
      <w:bookmarkEnd w:id="15"/>
    </w:p>
    <w:p w14:paraId="3D967AA4"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博物馆内陈列的古代数学工具，如算筹、算盘、尺、量器、天文仪器等，是古代数学发展的重要见证，蕴含着丰富的数学思想，如十进制计数、位值原理、勾股定理、割圆术等，让学生了解古代数学的发展历程与古人的数学智慧。</w:t>
      </w:r>
    </w:p>
    <w:p w14:paraId="2099E7AD">
      <w:pPr>
        <w:numPr>
          <w:ilvl w:val="0"/>
          <w:numId w:val="35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算筹与算盘：算筹是古代的计算工具，由竹制、木制的小棒组成，通过不同的摆放方式，表示不同的数字，体现了十进制计数与位值原理；算盘是古代常用的计算工具，由算珠、算盘框、算杆组成，上珠一个表示5，下珠一个表示1，通过算珠的拨动，进行加减乘除运算，体现了十进制计数与位值原理。算筹与算盘的使用，简化了计算过程，体现了古人的数学智慧，与初中数学中的“十进制计数法”“位值原理”知识点相呼应，让学生了解了古代计算工具的发展历程，体会了数学的实用性。</w:t>
      </w:r>
    </w:p>
    <w:p w14:paraId="5B93D999">
      <w:pPr>
        <w:numPr>
          <w:ilvl w:val="0"/>
          <w:numId w:val="36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尺与量器：古代的尺、斗、升等工具，体现了古代的计量标准，蕴含着测量与比例的数学思想。例如，古代的尺，用于测量长度，不同朝代的尺长不同，但都遵循固定的标准，体现了测量的严谨性；古代的斗、升，用于计量容积，斗的容积是升的十倍，体现了比例与十进制计数的思想，与初中数学中的“测量”“比例”知识点相契合。</w:t>
      </w:r>
    </w:p>
    <w:p w14:paraId="5FA7F689">
      <w:pPr>
        <w:numPr>
          <w:ilvl w:val="0"/>
          <w:numId w:val="37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天文仪器与数学思想：博物馆内陈列的天文仪器（如浑仪、简仪），蕴含着勾股定理、割圆术、角度测量等数学思想。例如，浑仪用于测量天体的位置，其结构中蕴含着勾股定理，通过测量天体的高度与距离，运用勾股定理计算天体的位置；简仪用于测量角度，其刻度精准，体现了角度测量的数学思想，与初中数学中的“勾股定理”“角度测量”知识点相呼应，让学生了解了数学在天文领域的应用。</w:t>
      </w:r>
    </w:p>
    <w:p w14:paraId="095E4F9C">
      <w:pPr>
        <w:spacing w:before="300" w:after="120" w:line="288" w:lineRule="auto"/>
        <w:ind w:left="0"/>
        <w:jc w:val="left"/>
        <w:outlineLvl w:val="2"/>
      </w:pPr>
      <w:bookmarkStart w:id="16" w:name="heading_40"/>
      <w:r>
        <w:rPr>
          <w:rFonts w:ascii="Arial" w:hAnsi="Arial" w:eastAsia="等线" w:cs="Arial"/>
          <w:b/>
          <w:sz w:val="30"/>
        </w:rPr>
        <w:t>四、研究数据表格与图片说明</w:t>
      </w:r>
      <w:bookmarkEnd w:id="16"/>
    </w:p>
    <w:p w14:paraId="5A02797F">
      <w:pPr>
        <w:spacing w:before="260" w:after="120" w:line="288" w:lineRule="auto"/>
        <w:ind w:left="0"/>
        <w:jc w:val="left"/>
        <w:outlineLvl w:val="3"/>
      </w:pPr>
      <w:bookmarkStart w:id="17" w:name="heading_41"/>
      <w:r>
        <w:rPr>
          <w:rFonts w:ascii="Arial" w:hAnsi="Arial" w:eastAsia="等线" w:cs="Arial"/>
          <w:b/>
          <w:sz w:val="28"/>
        </w:rPr>
        <w:t>（一）研究数据表格</w:t>
      </w:r>
      <w:bookmarkEnd w:id="17"/>
    </w:p>
    <w:p w14:paraId="5A8748CE"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本次研究共采集各类数据86组，涵盖建筑、文物、展陈等多个类别，整理成以下核心数据表格，直观呈现博物馆中的数学元素分布规律。</w:t>
      </w:r>
    </w:p>
    <w:p w14:paraId="2F7EEA23"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表1：博物馆建筑数学元素数据统计表</w:t>
      </w:r>
    </w:p>
    <w:tbl>
      <w:tblPr>
        <w:tblStyle w:val="3"/>
        <w:tblW w:w="0" w:type="auto"/>
        <w:tblInd w:w="0" w:type="dxa"/>
        <w:tblBorders>
          <w:top w:val="single" w:color="DEE0E3" w:sz="0" w:space="0"/>
          <w:left w:val="single" w:color="DEE0E3" w:sz="0" w:space="0"/>
          <w:bottom w:val="single" w:color="DEE0E3" w:sz="0" w:space="0"/>
          <w:right w:val="single" w:color="DEE0E3" w:sz="0" w:space="0"/>
          <w:insideH w:val="single" w:color="DEE0E3" w:sz="0" w:space="0"/>
          <w:insideV w:val="single" w:color="DEE0E3" w:sz="0" w:space="0"/>
        </w:tblBorders>
        <w:tblLayout w:type="fixed"/>
        <w:tblCellMar>
          <w:top w:w="0" w:type="dxa"/>
          <w:left w:w="10" w:type="dxa"/>
          <w:bottom w:w="0" w:type="dxa"/>
          <w:right w:w="10" w:type="dxa"/>
        </w:tblCellMar>
      </w:tblPr>
      <w:tblGrid>
        <w:gridCol w:w="1380"/>
        <w:gridCol w:w="1380"/>
        <w:gridCol w:w="1380"/>
        <w:gridCol w:w="1380"/>
        <w:gridCol w:w="1380"/>
        <w:gridCol w:w="1380"/>
      </w:tblGrid>
      <w:tr w14:paraId="60C246CF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138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19949D5F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观察对象</w:t>
            </w:r>
          </w:p>
        </w:tc>
        <w:tc>
          <w:tcPr>
            <w:tcW w:w="138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5C295787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对称类型</w:t>
            </w:r>
          </w:p>
        </w:tc>
        <w:tc>
          <w:tcPr>
            <w:tcW w:w="138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53026BF7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几何图形</w:t>
            </w:r>
          </w:p>
        </w:tc>
        <w:tc>
          <w:tcPr>
            <w:tcW w:w="138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55526DA2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关键尺寸（cm）</w:t>
            </w:r>
          </w:p>
        </w:tc>
        <w:tc>
          <w:tcPr>
            <w:tcW w:w="138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526E7D62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比例关系</w:t>
            </w:r>
          </w:p>
        </w:tc>
        <w:tc>
          <w:tcPr>
            <w:tcW w:w="138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40B99EA1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数学原理</w:t>
            </w:r>
          </w:p>
        </w:tc>
      </w:tr>
      <w:tr w14:paraId="6EE9B367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138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29D57CEC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博物馆主体建筑</w:t>
            </w:r>
          </w:p>
        </w:tc>
        <w:tc>
          <w:tcPr>
            <w:tcW w:w="138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14588B90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轴对称</w:t>
            </w:r>
          </w:p>
        </w:tc>
        <w:tc>
          <w:tcPr>
            <w:tcW w:w="138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32077AB2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矩形、圆形、三角形</w:t>
            </w:r>
          </w:p>
        </w:tc>
        <w:tc>
          <w:tcPr>
            <w:tcW w:w="138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0E2A137D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总高2427，总宽1500，穹顶直径300</w:t>
            </w:r>
          </w:p>
        </w:tc>
        <w:tc>
          <w:tcPr>
            <w:tcW w:w="138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36F18AFF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高宽比≈1.618</w:t>
            </w:r>
          </w:p>
        </w:tc>
        <w:tc>
          <w:tcPr>
            <w:tcW w:w="138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104EB8CA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轴对称、黄金分割、三角形稳定性</w:t>
            </w:r>
          </w:p>
        </w:tc>
      </w:tr>
      <w:tr w14:paraId="38306B16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138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5DAE93E5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正门门楣</w:t>
            </w:r>
          </w:p>
        </w:tc>
        <w:tc>
          <w:tcPr>
            <w:tcW w:w="138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6E823CA9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轴对称</w:t>
            </w:r>
          </w:p>
        </w:tc>
        <w:tc>
          <w:tcPr>
            <w:tcW w:w="138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1EFD95D8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三角形</w:t>
            </w:r>
          </w:p>
        </w:tc>
        <w:tc>
          <w:tcPr>
            <w:tcW w:w="138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7771A765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底长200，高80</w:t>
            </w:r>
          </w:p>
        </w:tc>
        <w:tc>
          <w:tcPr>
            <w:tcW w:w="138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608A021F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底高比=2.5:1</w:t>
            </w:r>
          </w:p>
        </w:tc>
        <w:tc>
          <w:tcPr>
            <w:tcW w:w="138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7E341B69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三角形稳定性、轴对称</w:t>
            </w:r>
          </w:p>
        </w:tc>
      </w:tr>
      <w:tr w14:paraId="6220B5C2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138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1F4CF926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展厅地面</w:t>
            </w:r>
          </w:p>
        </w:tc>
        <w:tc>
          <w:tcPr>
            <w:tcW w:w="138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1091793C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轴对称</w:t>
            </w:r>
          </w:p>
        </w:tc>
        <w:tc>
          <w:tcPr>
            <w:tcW w:w="138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457D359D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矩形</w:t>
            </w:r>
          </w:p>
        </w:tc>
        <w:tc>
          <w:tcPr>
            <w:tcW w:w="138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3CD52C3A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长2427，宽1500</w:t>
            </w:r>
          </w:p>
        </w:tc>
        <w:tc>
          <w:tcPr>
            <w:tcW w:w="138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7E0F88AA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长宽比≈1.618</w:t>
            </w:r>
          </w:p>
        </w:tc>
        <w:tc>
          <w:tcPr>
            <w:tcW w:w="138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11D25A1F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矩形性质、黄金分割</w:t>
            </w:r>
          </w:p>
        </w:tc>
      </w:tr>
      <w:tr w14:paraId="7546DCB4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138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074FA829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穹顶</w:t>
            </w:r>
          </w:p>
        </w:tc>
        <w:tc>
          <w:tcPr>
            <w:tcW w:w="138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619E8DDD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中心对称</w:t>
            </w:r>
          </w:p>
        </w:tc>
        <w:tc>
          <w:tcPr>
            <w:tcW w:w="138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308F9FC2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圆形</w:t>
            </w:r>
          </w:p>
        </w:tc>
        <w:tc>
          <w:tcPr>
            <w:tcW w:w="138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59DA7CC3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直径300，周长942</w:t>
            </w:r>
          </w:p>
        </w:tc>
        <w:tc>
          <w:tcPr>
            <w:tcW w:w="138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6114E24E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周长=2πr</w:t>
            </w:r>
          </w:p>
        </w:tc>
        <w:tc>
          <w:tcPr>
            <w:tcW w:w="138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36128C9B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圆的周长公式、中心对称</w:t>
            </w:r>
          </w:p>
        </w:tc>
      </w:tr>
    </w:tbl>
    <w:p w14:paraId="4A101207"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表2：典型文物数学元素数据统计表</w:t>
      </w:r>
    </w:p>
    <w:tbl>
      <w:tblPr>
        <w:tblStyle w:val="3"/>
        <w:tblW w:w="0" w:type="auto"/>
        <w:tblInd w:w="0" w:type="dxa"/>
        <w:tblBorders>
          <w:top w:val="single" w:color="DEE0E3" w:sz="0" w:space="0"/>
          <w:left w:val="single" w:color="DEE0E3" w:sz="0" w:space="0"/>
          <w:bottom w:val="single" w:color="DEE0E3" w:sz="0" w:space="0"/>
          <w:right w:val="single" w:color="DEE0E3" w:sz="0" w:space="0"/>
          <w:insideH w:val="single" w:color="DEE0E3" w:sz="0" w:space="0"/>
          <w:insideV w:val="single" w:color="DEE0E3" w:sz="0" w:space="0"/>
        </w:tblBorders>
        <w:tblLayout w:type="fixed"/>
        <w:tblCellMar>
          <w:top w:w="0" w:type="dxa"/>
          <w:left w:w="10" w:type="dxa"/>
          <w:bottom w:w="0" w:type="dxa"/>
          <w:right w:w="10" w:type="dxa"/>
        </w:tblCellMar>
      </w:tblPr>
      <w:tblGrid>
        <w:gridCol w:w="1185"/>
        <w:gridCol w:w="1185"/>
        <w:gridCol w:w="1185"/>
        <w:gridCol w:w="1185"/>
        <w:gridCol w:w="1185"/>
        <w:gridCol w:w="1185"/>
        <w:gridCol w:w="1185"/>
      </w:tblGrid>
      <w:tr w14:paraId="02D0A7A4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1185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22C36766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文物名称</w:t>
            </w:r>
          </w:p>
        </w:tc>
        <w:tc>
          <w:tcPr>
            <w:tcW w:w="1185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2A2CFF38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年代</w:t>
            </w:r>
          </w:p>
        </w:tc>
        <w:tc>
          <w:tcPr>
            <w:tcW w:w="1185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2093A1FA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对称类型</w:t>
            </w:r>
          </w:p>
        </w:tc>
        <w:tc>
          <w:tcPr>
            <w:tcW w:w="1185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3A97D5B1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几何图形</w:t>
            </w:r>
          </w:p>
        </w:tc>
        <w:tc>
          <w:tcPr>
            <w:tcW w:w="1185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0C1249E8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关键尺寸（cm）</w:t>
            </w:r>
          </w:p>
        </w:tc>
        <w:tc>
          <w:tcPr>
            <w:tcW w:w="1185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31DA34F0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比例关系</w:t>
            </w:r>
          </w:p>
        </w:tc>
        <w:tc>
          <w:tcPr>
            <w:tcW w:w="1185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1A9E6522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容积估算（cm³）</w:t>
            </w:r>
          </w:p>
        </w:tc>
      </w:tr>
      <w:tr w14:paraId="64156E3C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1185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429DD521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青铜鼎</w:t>
            </w:r>
          </w:p>
        </w:tc>
        <w:tc>
          <w:tcPr>
            <w:tcW w:w="1185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69E5C260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商代</w:t>
            </w:r>
          </w:p>
        </w:tc>
        <w:tc>
          <w:tcPr>
            <w:tcW w:w="1185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505507C8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轴对称</w:t>
            </w:r>
          </w:p>
        </w:tc>
        <w:tc>
          <w:tcPr>
            <w:tcW w:w="1185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1DDD2D22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圆形、圆柱、三棱柱</w:t>
            </w:r>
          </w:p>
        </w:tc>
        <w:tc>
          <w:tcPr>
            <w:tcW w:w="1185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73429E28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高52，口径40，腹深28，足高14</w:t>
            </w:r>
          </w:p>
        </w:tc>
        <w:tc>
          <w:tcPr>
            <w:tcW w:w="1185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0E7D655F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高:口径=1.3:1</w:t>
            </w:r>
          </w:p>
        </w:tc>
        <w:tc>
          <w:tcPr>
            <w:tcW w:w="1185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035C056C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14067.2</w:t>
            </w:r>
          </w:p>
        </w:tc>
      </w:tr>
      <w:tr w14:paraId="5375FFD3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1185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3C83020A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陶瓷瓶</w:t>
            </w:r>
          </w:p>
        </w:tc>
        <w:tc>
          <w:tcPr>
            <w:tcW w:w="1185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3CD33771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清代</w:t>
            </w:r>
          </w:p>
        </w:tc>
        <w:tc>
          <w:tcPr>
            <w:tcW w:w="1185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04FEAFD7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旋转对称</w:t>
            </w:r>
          </w:p>
        </w:tc>
        <w:tc>
          <w:tcPr>
            <w:tcW w:w="1185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32859CDF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圆柱、圆台</w:t>
            </w:r>
          </w:p>
        </w:tc>
        <w:tc>
          <w:tcPr>
            <w:tcW w:w="1185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56F6F13F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高32，口径5，底径3</w:t>
            </w:r>
          </w:p>
        </w:tc>
        <w:tc>
          <w:tcPr>
            <w:tcW w:w="1185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234275FA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高:口径=6.4:1，高宽比≈1.6</w:t>
            </w:r>
          </w:p>
        </w:tc>
        <w:tc>
          <w:tcPr>
            <w:tcW w:w="1185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1C0DD55F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1295.25</w:t>
            </w:r>
          </w:p>
        </w:tc>
      </w:tr>
      <w:tr w14:paraId="51D5687A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1185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26F72CAD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玉璧</w:t>
            </w:r>
          </w:p>
        </w:tc>
        <w:tc>
          <w:tcPr>
            <w:tcW w:w="1185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3790F7CB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汉代</w:t>
            </w:r>
          </w:p>
        </w:tc>
        <w:tc>
          <w:tcPr>
            <w:tcW w:w="1185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08FB2D4E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中心对称、轴对称</w:t>
            </w:r>
          </w:p>
        </w:tc>
        <w:tc>
          <w:tcPr>
            <w:tcW w:w="1185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43B98A87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同心圆</w:t>
            </w:r>
          </w:p>
        </w:tc>
        <w:tc>
          <w:tcPr>
            <w:tcW w:w="1185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22C13D5C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外直径18，内直径3，厚度0.8</w:t>
            </w:r>
          </w:p>
        </w:tc>
        <w:tc>
          <w:tcPr>
            <w:tcW w:w="1185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4281B594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外圆半径:内圆半径=6:1</w:t>
            </w:r>
          </w:p>
        </w:tc>
        <w:tc>
          <w:tcPr>
            <w:tcW w:w="1185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1FB457F5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-</w:t>
            </w:r>
          </w:p>
        </w:tc>
      </w:tr>
      <w:tr w14:paraId="1C379F29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1185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2F9CAEC9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方形印章</w:t>
            </w:r>
          </w:p>
        </w:tc>
        <w:tc>
          <w:tcPr>
            <w:tcW w:w="1185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55435FB0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清代</w:t>
            </w:r>
          </w:p>
        </w:tc>
        <w:tc>
          <w:tcPr>
            <w:tcW w:w="1185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0B47C659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轴对称</w:t>
            </w:r>
          </w:p>
        </w:tc>
        <w:tc>
          <w:tcPr>
            <w:tcW w:w="1185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5B730BC4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正方体、长方体</w:t>
            </w:r>
          </w:p>
        </w:tc>
        <w:tc>
          <w:tcPr>
            <w:tcW w:w="1185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175328F2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边长5，高8</w:t>
            </w:r>
          </w:p>
        </w:tc>
        <w:tc>
          <w:tcPr>
            <w:tcW w:w="1185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0201CD4F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边长:高=5:8</w:t>
            </w:r>
          </w:p>
        </w:tc>
        <w:tc>
          <w:tcPr>
            <w:tcW w:w="1185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0CAA94D9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200</w:t>
            </w:r>
          </w:p>
        </w:tc>
      </w:tr>
    </w:tbl>
    <w:p w14:paraId="4F5CC9A1"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表3：文物对称类型与几何图形统计汇总表</w:t>
      </w:r>
    </w:p>
    <w:tbl>
      <w:tblPr>
        <w:tblStyle w:val="3"/>
        <w:tblW w:w="0" w:type="auto"/>
        <w:tblInd w:w="0" w:type="dxa"/>
        <w:tblBorders>
          <w:top w:val="single" w:color="DEE0E3" w:sz="0" w:space="0"/>
          <w:left w:val="single" w:color="DEE0E3" w:sz="0" w:space="0"/>
          <w:bottom w:val="single" w:color="DEE0E3" w:sz="0" w:space="0"/>
          <w:right w:val="single" w:color="DEE0E3" w:sz="0" w:space="0"/>
          <w:insideH w:val="single" w:color="DEE0E3" w:sz="0" w:space="0"/>
          <w:insideV w:val="single" w:color="DEE0E3" w:sz="0" w:space="0"/>
        </w:tblBorders>
        <w:tblLayout w:type="fixed"/>
        <w:tblCellMar>
          <w:top w:w="0" w:type="dxa"/>
          <w:left w:w="10" w:type="dxa"/>
          <w:bottom w:w="0" w:type="dxa"/>
          <w:right w:w="10" w:type="dxa"/>
        </w:tblCellMar>
      </w:tblPr>
      <w:tblGrid>
        <w:gridCol w:w="2070"/>
        <w:gridCol w:w="2070"/>
        <w:gridCol w:w="2070"/>
        <w:gridCol w:w="2070"/>
      </w:tblGrid>
      <w:tr w14:paraId="716CD64C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1CF75149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统计类别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0E7E1DD3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具体项目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5FFEEC44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数量（件）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6AEE01A3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占比</w:t>
            </w:r>
          </w:p>
        </w:tc>
      </w:tr>
      <w:tr w14:paraId="69FF31BB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2F680047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对称类型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6F1FE39F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轴对称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4E006336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38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728DBB8C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75%</w:t>
            </w:r>
          </w:p>
        </w:tc>
      </w:tr>
      <w:tr w14:paraId="5DED9C8B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67C0E797"/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55E11E95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中心对称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3604C4F7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8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4FA35E72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15%</w:t>
            </w:r>
          </w:p>
        </w:tc>
      </w:tr>
      <w:tr w14:paraId="3560A4B9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4D63116D"/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33524A8A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旋转对称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75CD2495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5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7178F0BF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10%</w:t>
            </w:r>
          </w:p>
        </w:tc>
      </w:tr>
      <w:tr w14:paraId="3A2E93B5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3E0FA3E0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几何图形（平面）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0B06D516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正方形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0456E040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15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3B278744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30%</w:t>
            </w:r>
          </w:p>
        </w:tc>
      </w:tr>
      <w:tr w14:paraId="044A409A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148BDCCD"/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1A42D364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矩形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280F0B1F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13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5DC885AB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25%</w:t>
            </w:r>
          </w:p>
        </w:tc>
      </w:tr>
      <w:tr w14:paraId="632CDD9C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0378F65D"/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5F71AB1B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圆形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042717BC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10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6798920C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20%</w:t>
            </w:r>
          </w:p>
        </w:tc>
      </w:tr>
      <w:tr w14:paraId="3B99AF9D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37C316A9"/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2AC2B459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三角形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07613B82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8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3A501CD6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15%</w:t>
            </w:r>
          </w:p>
        </w:tc>
      </w:tr>
      <w:tr w14:paraId="5BCCD432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466BF992"/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58584834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其他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75438536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4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7C5129BB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10%</w:t>
            </w:r>
          </w:p>
        </w:tc>
      </w:tr>
      <w:tr w14:paraId="1B1B4A1F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105543C7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几何图形（立体）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21884809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圆柱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51094D0F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12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2460AFD1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24%</w:t>
            </w:r>
          </w:p>
        </w:tc>
      </w:tr>
      <w:tr w14:paraId="314286A6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2F00C9A9"/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797E88D2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圆台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6F033720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8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0F9CCF1D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16%</w:t>
            </w:r>
          </w:p>
        </w:tc>
      </w:tr>
      <w:tr w14:paraId="5312E013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524A6304"/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2C00C62F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长方体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7874EEB6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7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16DBAA8E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14%</w:t>
            </w:r>
          </w:p>
        </w:tc>
      </w:tr>
      <w:tr w14:paraId="6B750812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66591772"/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0D975F31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正方体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61D8781F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6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32946A79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12%</w:t>
            </w:r>
          </w:p>
        </w:tc>
      </w:tr>
      <w:tr w14:paraId="28CBB288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6DBC0E65"/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0827B4F0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组合体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43AF03F6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30</w:t>
            </w:r>
          </w:p>
        </w:tc>
        <w:tc>
          <w:tcPr>
            <w:tcW w:w="2070" w:type="dxa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5CD6E203">
            <w:pPr>
              <w:spacing w:before="120" w:after="120" w:line="288" w:lineRule="auto"/>
              <w:ind w:left="0"/>
              <w:jc w:val="left"/>
            </w:pPr>
            <w:r>
              <w:rPr>
                <w:rFonts w:ascii="Arial" w:hAnsi="Arial" w:eastAsia="等线" w:cs="Arial"/>
                <w:sz w:val="22"/>
              </w:rPr>
              <w:t>60%</w:t>
            </w:r>
          </w:p>
        </w:tc>
      </w:tr>
    </w:tbl>
    <w:p w14:paraId="6826E658">
      <w:pPr>
        <w:spacing w:before="260" w:after="120" w:line="288" w:lineRule="auto"/>
        <w:ind w:left="0"/>
        <w:jc w:val="left"/>
        <w:outlineLvl w:val="3"/>
      </w:pPr>
      <w:bookmarkStart w:id="18" w:name="heading_42"/>
      <w:r>
        <w:rPr>
          <w:rFonts w:ascii="Arial" w:hAnsi="Arial" w:eastAsia="等线" w:cs="Arial"/>
          <w:b/>
          <w:sz w:val="28"/>
        </w:rPr>
        <w:t>（二）图片说明</w:t>
      </w:r>
      <w:bookmarkEnd w:id="18"/>
    </w:p>
    <w:p w14:paraId="28C269E2"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本次研究共拍摄图片6</w:t>
      </w:r>
      <w:r>
        <w:rPr>
          <w:rFonts w:hint="eastAsia" w:ascii="Arial" w:hAnsi="Arial" w:eastAsia="等线" w:cs="Arial"/>
          <w:sz w:val="22"/>
          <w:lang w:val="en-US" w:eastAsia="zh-CN"/>
        </w:rPr>
        <w:t>2</w:t>
      </w:r>
      <w:r>
        <w:rPr>
          <w:rFonts w:ascii="Arial" w:hAnsi="Arial" w:eastAsia="等线" w:cs="Arial"/>
          <w:sz w:val="22"/>
        </w:rPr>
        <w:t>张，选取</w:t>
      </w:r>
      <w:r>
        <w:rPr>
          <w:rFonts w:hint="eastAsia" w:ascii="Arial" w:hAnsi="Arial" w:eastAsia="等线" w:cs="Arial"/>
          <w:sz w:val="22"/>
          <w:lang w:val="en-US" w:eastAsia="zh-CN"/>
        </w:rPr>
        <w:t>5</w:t>
      </w:r>
      <w:r>
        <w:rPr>
          <w:rFonts w:ascii="Arial" w:hAnsi="Arial" w:eastAsia="等线" w:cs="Arial"/>
          <w:sz w:val="22"/>
        </w:rPr>
        <w:t>张具有代表性的图片，标注图片信息与蕴含的数学元素，具体如下：</w:t>
      </w:r>
    </w:p>
    <w:p w14:paraId="114EBCB3">
      <w:pPr>
        <w:numPr>
          <w:ilvl w:val="0"/>
          <w:numId w:val="38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图片1：博物馆主体建筑正面图（拍摄位置：博物馆入口正前方）</w:t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939155" cy="4455160"/>
            <wp:effectExtent l="0" t="0" r="4445" b="254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39155" cy="44551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130BFD0">
      <w:pPr>
        <w:spacing w:before="120" w:after="120" w:line="288" w:lineRule="auto"/>
        <w:ind w:left="0"/>
        <w:jc w:val="left"/>
        <w:rPr>
          <w:rFonts w:ascii="Arial" w:hAnsi="Arial" w:eastAsia="等线" w:cs="Arial"/>
          <w:sz w:val="22"/>
        </w:rPr>
      </w:pPr>
      <w:r>
        <w:rPr>
          <w:rFonts w:ascii="Arial" w:hAnsi="Arial" w:eastAsia="等线" w:cs="Arial"/>
          <w:sz w:val="22"/>
        </w:rPr>
        <w:t>说明：图片展示博物馆主体建筑的正面全貌，建筑为轴对称图形，中轴线贯穿正门、屋顶，左右两侧对称分布，外立面为矩形墙面、正方形窗户，屋顶为圆形穹顶，蕴含轴对称、矩形、圆形等数学元素，高宽比接近黄金分割。</w:t>
      </w:r>
    </w:p>
    <w:p w14:paraId="2116C9A0">
      <w:pPr>
        <w:spacing w:before="120" w:after="120" w:line="288" w:lineRule="auto"/>
        <w:ind w:left="0"/>
        <w:jc w:val="left"/>
        <w:rPr>
          <w:rFonts w:ascii="Arial" w:hAnsi="Arial" w:eastAsia="等线" w:cs="Arial"/>
          <w:sz w:val="22"/>
        </w:rPr>
      </w:pPr>
    </w:p>
    <w:p w14:paraId="76B3A9F4">
      <w:pPr>
        <w:spacing w:before="120" w:after="120" w:line="288" w:lineRule="auto"/>
        <w:ind w:left="0"/>
        <w:jc w:val="left"/>
        <w:rPr>
          <w:rFonts w:ascii="Arial" w:hAnsi="Arial" w:eastAsia="等线" w:cs="Arial"/>
          <w:sz w:val="22"/>
        </w:rPr>
      </w:pPr>
    </w:p>
    <w:p w14:paraId="25C60340">
      <w:pPr>
        <w:spacing w:before="120" w:after="120" w:line="288" w:lineRule="auto"/>
        <w:ind w:left="0"/>
        <w:jc w:val="left"/>
        <w:rPr>
          <w:rFonts w:ascii="Arial" w:hAnsi="Arial" w:eastAsia="等线" w:cs="Arial"/>
          <w:sz w:val="22"/>
        </w:rPr>
      </w:pPr>
    </w:p>
    <w:p w14:paraId="70446934">
      <w:pPr>
        <w:spacing w:before="120" w:after="120" w:line="288" w:lineRule="auto"/>
        <w:ind w:left="0"/>
        <w:jc w:val="left"/>
        <w:rPr>
          <w:rFonts w:ascii="Arial" w:hAnsi="Arial" w:eastAsia="等线" w:cs="Arial"/>
          <w:sz w:val="22"/>
        </w:rPr>
      </w:pPr>
    </w:p>
    <w:p w14:paraId="793EC6F0">
      <w:pPr>
        <w:numPr>
          <w:ilvl w:val="0"/>
          <w:numId w:val="39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图片2：青铜鼎正面图（拍摄位置：一楼文物展厅青铜器展区）</w:t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412740" cy="7037070"/>
            <wp:effectExtent l="0" t="0" r="16510" b="11430"/>
            <wp:docPr id="3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10800000" flipV="1">
                      <a:off x="0" y="0"/>
                      <a:ext cx="5412740" cy="70370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E422D0E">
      <w:pPr>
        <w:spacing w:before="120" w:after="120" w:line="288" w:lineRule="auto"/>
        <w:ind w:left="0"/>
        <w:jc w:val="left"/>
        <w:rPr>
          <w:rFonts w:ascii="宋体" w:hAnsi="宋体" w:eastAsia="宋体" w:cs="宋体"/>
          <w:sz w:val="24"/>
          <w:szCs w:val="24"/>
        </w:rPr>
      </w:pPr>
      <w:r>
        <w:rPr>
          <w:rFonts w:ascii="Arial" w:hAnsi="Arial" w:eastAsia="等线" w:cs="Arial"/>
          <w:sz w:val="22"/>
        </w:rPr>
        <w:t>说明：图片展示商代青铜鼎的正面造型，鼎为轴对称图形，口沿为圆形，腹身为圆柱，三足为三棱柱，双耳为矩形，蕴含轴对称、圆形、圆柱、三棱柱等数学元素，三足形成等边三角形，体现三角形稳定性。</w:t>
      </w:r>
    </w:p>
    <w:p w14:paraId="7039EFEB">
      <w:pPr>
        <w:spacing w:before="120" w:after="120" w:line="288" w:lineRule="auto"/>
        <w:ind w:left="0"/>
        <w:jc w:val="left"/>
        <w:rPr>
          <w:rFonts w:ascii="宋体" w:hAnsi="宋体" w:eastAsia="宋体" w:cs="宋体"/>
          <w:sz w:val="24"/>
          <w:szCs w:val="24"/>
        </w:rPr>
      </w:pPr>
    </w:p>
    <w:p w14:paraId="7BDBD63A">
      <w:pPr>
        <w:spacing w:before="120" w:after="120" w:line="288" w:lineRule="auto"/>
        <w:ind w:left="0"/>
        <w:jc w:val="left"/>
        <w:rPr>
          <w:rFonts w:ascii="宋体" w:hAnsi="宋体" w:eastAsia="宋体" w:cs="宋体"/>
          <w:sz w:val="24"/>
          <w:szCs w:val="24"/>
        </w:rPr>
      </w:pPr>
    </w:p>
    <w:p w14:paraId="0F69AF3C">
      <w:pPr>
        <w:spacing w:before="120" w:after="120" w:line="288" w:lineRule="auto"/>
        <w:ind w:left="0"/>
        <w:jc w:val="left"/>
        <w:rPr>
          <w:rFonts w:ascii="宋体" w:hAnsi="宋体" w:eastAsia="宋体" w:cs="宋体"/>
          <w:sz w:val="24"/>
          <w:szCs w:val="24"/>
        </w:rPr>
      </w:pPr>
    </w:p>
    <w:p w14:paraId="522199D8">
      <w:pPr>
        <w:spacing w:before="120" w:after="120" w:line="288" w:lineRule="auto"/>
        <w:ind w:left="0"/>
        <w:jc w:val="left"/>
        <w:rPr>
          <w:rFonts w:ascii="宋体" w:hAnsi="宋体" w:eastAsia="宋体" w:cs="宋体"/>
          <w:sz w:val="24"/>
          <w:szCs w:val="24"/>
        </w:rPr>
      </w:pPr>
    </w:p>
    <w:p w14:paraId="3222CB04">
      <w:pPr>
        <w:numPr>
          <w:ilvl w:val="0"/>
          <w:numId w:val="0"/>
        </w:numPr>
        <w:spacing w:before="120" w:after="120" w:line="288" w:lineRule="auto"/>
        <w:ind w:left="0" w:leftChars="0"/>
        <w:jc w:val="left"/>
      </w:pPr>
      <w:r>
        <w:rPr>
          <w:rFonts w:asciiTheme="minorHAnsi" w:hAnsiTheme="minorHAnsi" w:eastAsiaTheme="minorEastAsia" w:cstheme="minorBidi"/>
          <w:color w:val="3370FF"/>
          <w:sz w:val="21"/>
          <w:szCs w:val="22"/>
        </w:rPr>
        <w:t>3.</w:t>
      </w:r>
      <w:r>
        <w:rPr>
          <w:rFonts w:ascii="Arial" w:hAnsi="Arial" w:eastAsia="等线" w:cs="Arial"/>
          <w:sz w:val="22"/>
        </w:rPr>
        <w:t>图片3：陶瓷瓶侧面图（拍摄位置：一楼文物展厅陶瓷展区）</w:t>
      </w:r>
    </w:p>
    <w:p w14:paraId="07D756ED">
      <w:pPr>
        <w:numPr>
          <w:ilvl w:val="0"/>
          <w:numId w:val="0"/>
        </w:numPr>
        <w:spacing w:before="120" w:after="120" w:line="288" w:lineRule="auto"/>
        <w:ind w:left="0" w:leftChars="0"/>
        <w:jc w:val="left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4651375" cy="6206490"/>
            <wp:effectExtent l="0" t="0" r="15875" b="3810"/>
            <wp:docPr id="4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51375" cy="62064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21205A1">
      <w:pPr>
        <w:numPr>
          <w:ilvl w:val="0"/>
          <w:numId w:val="0"/>
        </w:numPr>
        <w:spacing w:before="120" w:after="120" w:line="288" w:lineRule="auto"/>
        <w:ind w:left="0" w:leftChars="0"/>
        <w:jc w:val="left"/>
        <w:rPr>
          <w:rFonts w:ascii="Arial" w:hAnsi="Arial" w:eastAsia="等线" w:cs="Arial"/>
          <w:sz w:val="22"/>
        </w:rPr>
      </w:pPr>
      <w:r>
        <w:rPr>
          <w:rFonts w:ascii="Arial" w:hAnsi="Arial" w:eastAsia="等线" w:cs="Arial"/>
          <w:sz w:val="22"/>
        </w:rPr>
        <w:t>说明：图片展示清代陶瓷瓶的侧面造型，瓶身为旋转对称图形，可分解为圆柱、圆台，瓶身有云纹纹饰，蕴含旋转对称、圆柱、圆台、周期重复等数学元素，高宽比接近黄金分割。</w:t>
      </w:r>
    </w:p>
    <w:p w14:paraId="5A89F89D">
      <w:pPr>
        <w:numPr>
          <w:ilvl w:val="0"/>
          <w:numId w:val="0"/>
        </w:numPr>
        <w:spacing w:before="120" w:after="120" w:line="288" w:lineRule="auto"/>
        <w:ind w:left="0" w:leftChars="0"/>
        <w:jc w:val="left"/>
        <w:rPr>
          <w:rFonts w:ascii="Arial" w:hAnsi="Arial" w:eastAsia="等线" w:cs="Arial"/>
          <w:sz w:val="22"/>
        </w:rPr>
      </w:pPr>
    </w:p>
    <w:p w14:paraId="1D5851BB">
      <w:pPr>
        <w:numPr>
          <w:ilvl w:val="0"/>
          <w:numId w:val="40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图片4：玉璧正面图（拍摄位置：二楼文物展厅玉器展区）</w:t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4037330" cy="2693035"/>
            <wp:effectExtent l="0" t="0" r="1270" b="12065"/>
            <wp:docPr id="5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37330" cy="26930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6863D10">
      <w:pPr>
        <w:spacing w:before="120" w:after="120" w:line="288" w:lineRule="auto"/>
        <w:ind w:left="0"/>
        <w:jc w:val="left"/>
        <w:rPr>
          <w:rFonts w:ascii="Arial" w:hAnsi="Arial" w:eastAsia="等线" w:cs="Arial"/>
          <w:sz w:val="22"/>
        </w:rPr>
      </w:pPr>
      <w:r>
        <w:rPr>
          <w:rFonts w:ascii="Arial" w:hAnsi="Arial" w:eastAsia="等线" w:cs="Arial"/>
          <w:sz w:val="22"/>
        </w:rPr>
        <w:t>说明：图片展示汉代玉璧的正面造型，玉璧为圆形，中间有圆孔，为中心对称、轴对称图形，外圆与内圆为同心圆，蕴含中心对称、轴对称、圆、同心圆等数学元素，外圆半径与内圆半径比为6:1。</w:t>
      </w:r>
    </w:p>
    <w:p w14:paraId="66867127">
      <w:pPr>
        <w:spacing w:before="120" w:after="120" w:line="288" w:lineRule="auto"/>
        <w:ind w:left="0"/>
        <w:jc w:val="left"/>
        <w:rPr>
          <w:rFonts w:ascii="Arial" w:hAnsi="Arial" w:eastAsia="等线" w:cs="Arial"/>
          <w:sz w:val="22"/>
        </w:rPr>
      </w:pPr>
    </w:p>
    <w:p w14:paraId="7D975884">
      <w:pPr>
        <w:spacing w:before="120" w:after="120" w:line="288" w:lineRule="auto"/>
        <w:ind w:left="0"/>
        <w:jc w:val="left"/>
        <w:rPr>
          <w:rFonts w:ascii="Arial" w:hAnsi="Arial" w:eastAsia="等线" w:cs="Arial"/>
          <w:sz w:val="22"/>
        </w:rPr>
      </w:pPr>
    </w:p>
    <w:p w14:paraId="16D0B982">
      <w:pPr>
        <w:spacing w:before="120" w:after="120" w:line="288" w:lineRule="auto"/>
        <w:ind w:left="0"/>
        <w:jc w:val="left"/>
        <w:rPr>
          <w:rFonts w:hint="eastAsia" w:ascii="Arial" w:hAnsi="Arial" w:eastAsia="等线" w:cs="Arial"/>
          <w:sz w:val="22"/>
          <w:lang w:val="en-US" w:eastAsia="zh-CN"/>
        </w:rPr>
      </w:pPr>
    </w:p>
    <w:p w14:paraId="24A472B5">
      <w:pPr>
        <w:numPr>
          <w:ilvl w:val="0"/>
          <w:numId w:val="41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图片5：博物馆展厅内部图（拍摄位置：一楼展厅中央）</w:t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321935" cy="2908300"/>
            <wp:effectExtent l="0" t="0" r="12065" b="6350"/>
            <wp:docPr id="6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21935" cy="2908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1379559">
      <w:pPr>
        <w:spacing w:before="120" w:after="120" w:line="288" w:lineRule="auto"/>
        <w:ind w:left="0"/>
        <w:jc w:val="left"/>
        <w:rPr>
          <w:rFonts w:ascii="Arial" w:hAnsi="Arial" w:eastAsia="等线" w:cs="Arial"/>
          <w:sz w:val="22"/>
        </w:rPr>
      </w:pPr>
      <w:r>
        <w:rPr>
          <w:rFonts w:ascii="Arial" w:hAnsi="Arial" w:eastAsia="等线" w:cs="Arial"/>
          <w:sz w:val="22"/>
        </w:rPr>
        <w:t>说明：图片展示博物馆展厅内部布局，展厅为矩形，展柜对称分布，展品摆放在墙面黄金分割点处，展柜间距均匀，蕴含矩形、轴对称、黄金分割等数学元素，动线设计合理。</w:t>
      </w:r>
    </w:p>
    <w:p w14:paraId="1B66AE07">
      <w:pPr>
        <w:spacing w:before="120" w:after="120" w:line="288" w:lineRule="auto"/>
        <w:ind w:left="0"/>
        <w:jc w:val="left"/>
        <w:rPr>
          <w:rFonts w:ascii="Arial" w:hAnsi="Arial" w:eastAsia="等线" w:cs="Arial"/>
          <w:sz w:val="22"/>
        </w:rPr>
      </w:pPr>
    </w:p>
    <w:p w14:paraId="2D708A30">
      <w:pPr>
        <w:spacing w:before="120" w:after="120" w:line="288" w:lineRule="auto"/>
        <w:ind w:left="0"/>
        <w:jc w:val="left"/>
        <w:rPr>
          <w:rFonts w:hint="eastAsia" w:ascii="Arial" w:hAnsi="Arial" w:eastAsia="等线" w:cs="Arial"/>
          <w:b/>
          <w:bCs/>
          <w:sz w:val="30"/>
          <w:szCs w:val="30"/>
        </w:rPr>
      </w:pPr>
      <w:r>
        <w:rPr>
          <w:rFonts w:hint="eastAsia" w:ascii="Arial" w:hAnsi="Arial" w:eastAsia="等线" w:cs="Arial"/>
          <w:b/>
          <w:bCs/>
          <w:sz w:val="30"/>
          <w:szCs w:val="30"/>
          <w:lang w:val="en-US" w:eastAsia="zh-CN"/>
        </w:rPr>
        <w:t>四、</w:t>
      </w:r>
      <w:r>
        <w:rPr>
          <w:rFonts w:hint="eastAsia" w:ascii="Arial" w:hAnsi="Arial" w:eastAsia="等线" w:cs="Arial"/>
          <w:b/>
          <w:bCs/>
          <w:sz w:val="30"/>
          <w:szCs w:val="30"/>
        </w:rPr>
        <w:t>研究结论</w:t>
      </w:r>
    </w:p>
    <w:p w14:paraId="64529CC6">
      <w:pPr>
        <w:spacing w:before="120" w:after="120" w:line="288" w:lineRule="auto"/>
        <w:ind w:left="0"/>
        <w:jc w:val="left"/>
        <w:rPr>
          <w:rFonts w:hint="eastAsia" w:ascii="Arial" w:hAnsi="Arial" w:eastAsia="等线" w:cs="Arial"/>
          <w:sz w:val="22"/>
        </w:rPr>
      </w:pPr>
      <w:r>
        <w:rPr>
          <w:rFonts w:hint="eastAsia" w:ascii="Arial" w:hAnsi="Arial" w:eastAsia="等线" w:cs="Arial"/>
          <w:sz w:val="22"/>
        </w:rPr>
        <w:t>1. 数学是博物馆多元要素的底层逻辑：从建筑的对称布局、黄金分割比例，到文物形制的几何规范、计量工具的数理逻辑，再到装饰纹样的对称变换、展陈设计的空间优化，数学贯穿博物馆的建筑、文物、艺术与运营全链条，是人类将理性思维转化为物质文明与文化表达的核心工具。</w:t>
      </w:r>
    </w:p>
    <w:p w14:paraId="29BC0628">
      <w:pPr>
        <w:spacing w:before="120" w:after="120" w:line="288" w:lineRule="auto"/>
        <w:ind w:left="0"/>
        <w:jc w:val="left"/>
        <w:rPr>
          <w:rFonts w:hint="eastAsia" w:ascii="Arial" w:hAnsi="Arial" w:eastAsia="等线" w:cs="Arial"/>
          <w:sz w:val="22"/>
        </w:rPr>
      </w:pPr>
    </w:p>
    <w:p w14:paraId="58F7A897">
      <w:pPr>
        <w:spacing w:before="120" w:after="120" w:line="288" w:lineRule="auto"/>
        <w:ind w:left="0"/>
        <w:jc w:val="left"/>
        <w:rPr>
          <w:rFonts w:hint="eastAsia" w:ascii="Arial" w:hAnsi="Arial" w:eastAsia="等线" w:cs="Arial"/>
          <w:sz w:val="22"/>
        </w:rPr>
      </w:pPr>
      <w:r>
        <w:rPr>
          <w:rFonts w:hint="eastAsia" w:ascii="Arial" w:hAnsi="Arial" w:eastAsia="等线" w:cs="Arial"/>
          <w:sz w:val="22"/>
        </w:rPr>
        <w:t>2. 数学连接历史与现实的双重价值：古代文物中的数学体现了古人解决生产、生活问题的智慧，如度量衡的标准化、器物的容积计算；现代博物馆的数字化保护、展陈流线设计则展现了数学在文化传承与公共服务中的现代应用，数学成为跨越时空的文明纽带。</w:t>
      </w:r>
    </w:p>
    <w:p w14:paraId="0E93524E">
      <w:pPr>
        <w:spacing w:before="120" w:after="120" w:line="288" w:lineRule="auto"/>
        <w:ind w:left="0"/>
        <w:jc w:val="left"/>
        <w:rPr>
          <w:rFonts w:hint="eastAsia" w:ascii="Arial" w:hAnsi="Arial" w:eastAsia="等线" w:cs="Arial"/>
          <w:sz w:val="22"/>
        </w:rPr>
      </w:pPr>
    </w:p>
    <w:p w14:paraId="1C67D37E">
      <w:pPr>
        <w:spacing w:before="120" w:after="120" w:line="288" w:lineRule="auto"/>
        <w:ind w:left="0"/>
        <w:jc w:val="left"/>
        <w:rPr>
          <w:rFonts w:hint="eastAsia" w:ascii="Arial" w:hAnsi="Arial" w:eastAsia="等线" w:cs="Arial"/>
          <w:sz w:val="22"/>
        </w:rPr>
      </w:pPr>
      <w:r>
        <w:rPr>
          <w:rFonts w:hint="eastAsia" w:ascii="Arial" w:hAnsi="Arial" w:eastAsia="等线" w:cs="Arial"/>
          <w:sz w:val="22"/>
        </w:rPr>
        <w:t>3. 数学与人文艺术的融合性：博物馆中的数学并非孤立的计算，而是与艺术、历史、工程等领域深度融合——纹样的几何规律让艺术兼具秩序与美感，建筑的数理逻辑让空间实现功能与美学的统一，这种融合让数学从抽象符号变为可感知的文化载体。</w:t>
      </w:r>
    </w:p>
    <w:p w14:paraId="38A9E5AB">
      <w:pPr>
        <w:spacing w:before="120" w:after="120" w:line="288" w:lineRule="auto"/>
        <w:ind w:left="0"/>
        <w:jc w:val="left"/>
        <w:rPr>
          <w:rFonts w:hint="eastAsia" w:ascii="Arial" w:hAnsi="Arial" w:eastAsia="等线" w:cs="Arial"/>
          <w:sz w:val="22"/>
        </w:rPr>
      </w:pPr>
      <w:r>
        <w:rPr>
          <w:rFonts w:hint="eastAsia" w:ascii="Arial" w:hAnsi="Arial" w:eastAsia="等线" w:cs="Arial"/>
          <w:sz w:val="22"/>
        </w:rPr>
        <w:t xml:space="preserve"> </w:t>
      </w:r>
    </w:p>
    <w:p w14:paraId="4DB18B32">
      <w:pPr>
        <w:spacing w:before="120" w:after="120" w:line="288" w:lineRule="auto"/>
        <w:ind w:left="0"/>
        <w:jc w:val="left"/>
        <w:rPr>
          <w:rFonts w:hint="eastAsia" w:ascii="Arial" w:hAnsi="Arial" w:eastAsia="等线" w:cs="Arial"/>
          <w:sz w:val="22"/>
        </w:rPr>
      </w:pPr>
      <w:r>
        <w:rPr>
          <w:rFonts w:hint="eastAsia" w:ascii="Arial" w:hAnsi="Arial" w:eastAsia="等线" w:cs="Arial"/>
          <w:sz w:val="22"/>
        </w:rPr>
        <w:t> </w:t>
      </w:r>
    </w:p>
    <w:p w14:paraId="42452F0B">
      <w:pPr>
        <w:spacing w:before="120" w:after="120" w:line="288" w:lineRule="auto"/>
        <w:ind w:left="0"/>
        <w:jc w:val="left"/>
        <w:rPr>
          <w:rFonts w:hint="eastAsia" w:ascii="Arial" w:hAnsi="Arial" w:eastAsia="等线" w:cs="Arial"/>
          <w:sz w:val="22"/>
        </w:rPr>
      </w:pPr>
      <w:r>
        <w:rPr>
          <w:rFonts w:hint="eastAsia" w:ascii="Arial" w:hAnsi="Arial" w:eastAsia="等线" w:cs="Arial"/>
          <w:sz w:val="22"/>
        </w:rPr>
        <w:t xml:space="preserve"> </w:t>
      </w:r>
    </w:p>
    <w:p w14:paraId="06ADB114">
      <w:pPr>
        <w:spacing w:before="120" w:after="120" w:line="288" w:lineRule="auto"/>
        <w:ind w:left="0"/>
        <w:jc w:val="left"/>
        <w:rPr>
          <w:rFonts w:hint="eastAsia" w:ascii="Arial" w:hAnsi="Arial" w:eastAsia="等线" w:cs="Arial"/>
          <w:b/>
          <w:bCs/>
          <w:sz w:val="30"/>
          <w:szCs w:val="30"/>
        </w:rPr>
      </w:pPr>
      <w:r>
        <w:rPr>
          <w:rFonts w:hint="eastAsia" w:ascii="Arial" w:hAnsi="Arial" w:eastAsia="等线" w:cs="Arial"/>
          <w:b/>
          <w:bCs/>
          <w:sz w:val="30"/>
          <w:szCs w:val="30"/>
          <w:lang w:val="en-US" w:eastAsia="zh-CN"/>
        </w:rPr>
        <w:t>五、</w:t>
      </w:r>
      <w:r>
        <w:rPr>
          <w:rFonts w:hint="eastAsia" w:ascii="Arial" w:hAnsi="Arial" w:eastAsia="等线" w:cs="Arial"/>
          <w:b/>
          <w:bCs/>
          <w:sz w:val="30"/>
          <w:szCs w:val="30"/>
        </w:rPr>
        <w:t>问题与不足</w:t>
      </w:r>
    </w:p>
    <w:p w14:paraId="4C67F821">
      <w:pPr>
        <w:spacing w:before="120" w:after="120" w:line="288" w:lineRule="auto"/>
        <w:ind w:left="0"/>
        <w:jc w:val="left"/>
        <w:rPr>
          <w:rFonts w:hint="eastAsia" w:ascii="Arial" w:hAnsi="Arial" w:eastAsia="等线" w:cs="Arial"/>
          <w:sz w:val="22"/>
        </w:rPr>
      </w:pPr>
      <w:r>
        <w:rPr>
          <w:rFonts w:hint="eastAsia" w:ascii="Arial" w:hAnsi="Arial" w:eastAsia="等线" w:cs="Arial"/>
          <w:sz w:val="22"/>
        </w:rPr>
        <w:t xml:space="preserve"> </w:t>
      </w:r>
    </w:p>
    <w:p w14:paraId="23D35319">
      <w:pPr>
        <w:spacing w:before="120" w:after="120" w:line="288" w:lineRule="auto"/>
        <w:ind w:left="0"/>
        <w:jc w:val="left"/>
        <w:rPr>
          <w:rFonts w:hint="eastAsia" w:ascii="Arial" w:hAnsi="Arial" w:eastAsia="等线" w:cs="Arial"/>
          <w:sz w:val="22"/>
        </w:rPr>
      </w:pPr>
      <w:r>
        <w:rPr>
          <w:rFonts w:hint="eastAsia" w:ascii="Arial" w:hAnsi="Arial" w:eastAsia="等线" w:cs="Arial"/>
          <w:sz w:val="22"/>
        </w:rPr>
        <w:t>1. 研究广度与深度不足：仅聚焦于综合类博物馆的部分案例，未覆盖专题博物馆（如数学博物馆、科技博物馆）的特色数学元素；对古代文物中数学原理的解读停留在表面，缺乏对其背后社会文化背景的深入挖掘。</w:t>
      </w:r>
    </w:p>
    <w:p w14:paraId="37B4F305">
      <w:pPr>
        <w:spacing w:before="120" w:after="120" w:line="288" w:lineRule="auto"/>
        <w:ind w:left="0"/>
        <w:jc w:val="left"/>
        <w:rPr>
          <w:rFonts w:hint="eastAsia" w:ascii="Arial" w:hAnsi="Arial" w:eastAsia="等线" w:cs="Arial"/>
          <w:sz w:val="22"/>
        </w:rPr>
      </w:pPr>
    </w:p>
    <w:p w14:paraId="2244EA47">
      <w:pPr>
        <w:spacing w:before="120" w:after="120" w:line="288" w:lineRule="auto"/>
        <w:ind w:left="0"/>
        <w:jc w:val="left"/>
        <w:rPr>
          <w:rFonts w:hint="eastAsia" w:ascii="Arial" w:hAnsi="Arial" w:eastAsia="等线" w:cs="Arial"/>
          <w:sz w:val="22"/>
        </w:rPr>
      </w:pPr>
      <w:r>
        <w:rPr>
          <w:rFonts w:hint="eastAsia" w:ascii="Arial" w:hAnsi="Arial" w:eastAsia="等线" w:cs="Arial"/>
          <w:sz w:val="22"/>
        </w:rPr>
        <w:t>2. 数据支撑的局限性：实地测量的样本量较小，部分数据（如建筑比例、纹样参数）仅为定性描述，缺乏大样本的定量分析；对展陈设计的数学应用未进行系统的对比研究，结论的普适性有待提升。</w:t>
      </w:r>
    </w:p>
    <w:p w14:paraId="5D1491E0">
      <w:pPr>
        <w:spacing w:before="120" w:after="120" w:line="288" w:lineRule="auto"/>
        <w:ind w:left="0"/>
        <w:jc w:val="left"/>
        <w:rPr>
          <w:rFonts w:hint="eastAsia" w:ascii="Arial" w:hAnsi="Arial" w:eastAsia="等线" w:cs="Arial"/>
          <w:sz w:val="22"/>
        </w:rPr>
      </w:pPr>
    </w:p>
    <w:p w14:paraId="47345769">
      <w:pPr>
        <w:spacing w:before="120" w:after="120" w:line="288" w:lineRule="auto"/>
        <w:ind w:left="0"/>
        <w:jc w:val="left"/>
        <w:rPr>
          <w:rFonts w:hint="eastAsia" w:ascii="Arial" w:hAnsi="Arial" w:eastAsia="等线" w:cs="Arial"/>
          <w:sz w:val="22"/>
        </w:rPr>
      </w:pPr>
      <w:r>
        <w:rPr>
          <w:rFonts w:hint="eastAsia" w:ascii="Arial" w:hAnsi="Arial" w:eastAsia="等线" w:cs="Arial"/>
          <w:sz w:val="22"/>
        </w:rPr>
        <w:t>3. 跨学科整合能力有待加强：研究中数学与历史、艺术的融合分析较为浅显，未充分结合考古学、艺术史等学科的研究方法，对“数学如何影响文化演进”的探讨不够深入。</w:t>
      </w:r>
    </w:p>
    <w:p w14:paraId="27DA3F7F">
      <w:pPr>
        <w:spacing w:before="120" w:after="120" w:line="288" w:lineRule="auto"/>
        <w:ind w:left="0"/>
        <w:jc w:val="left"/>
        <w:rPr>
          <w:rFonts w:hint="eastAsia" w:ascii="Arial" w:hAnsi="Arial" w:eastAsia="等线" w:cs="Arial"/>
          <w:sz w:val="22"/>
        </w:rPr>
      </w:pPr>
      <w:r>
        <w:rPr>
          <w:rFonts w:hint="eastAsia" w:ascii="Arial" w:hAnsi="Arial" w:eastAsia="等线" w:cs="Arial"/>
          <w:sz w:val="22"/>
        </w:rPr>
        <w:t xml:space="preserve"> </w:t>
      </w:r>
    </w:p>
    <w:p w14:paraId="6510A07F">
      <w:pPr>
        <w:spacing w:before="120" w:after="120" w:line="288" w:lineRule="auto"/>
        <w:ind w:left="0"/>
        <w:jc w:val="left"/>
        <w:rPr>
          <w:rFonts w:hint="eastAsia" w:ascii="Arial" w:hAnsi="Arial" w:eastAsia="等线" w:cs="Arial"/>
          <w:sz w:val="22"/>
        </w:rPr>
      </w:pPr>
      <w:r>
        <w:rPr>
          <w:rFonts w:hint="eastAsia" w:ascii="Arial" w:hAnsi="Arial" w:eastAsia="等线" w:cs="Arial"/>
          <w:sz w:val="22"/>
        </w:rPr>
        <w:t> </w:t>
      </w:r>
    </w:p>
    <w:p w14:paraId="4BCC466C">
      <w:pPr>
        <w:spacing w:before="120" w:after="120" w:line="288" w:lineRule="auto"/>
        <w:ind w:left="0"/>
        <w:jc w:val="left"/>
        <w:rPr>
          <w:rFonts w:hint="eastAsia" w:ascii="Arial" w:hAnsi="Arial" w:eastAsia="等线" w:cs="Arial"/>
          <w:b/>
          <w:bCs/>
          <w:sz w:val="22"/>
        </w:rPr>
      </w:pPr>
      <w:r>
        <w:rPr>
          <w:rFonts w:hint="eastAsia" w:ascii="Arial" w:hAnsi="Arial" w:eastAsia="等线" w:cs="Arial"/>
          <w:b/>
          <w:bCs/>
          <w:sz w:val="22"/>
        </w:rPr>
        <w:t xml:space="preserve"> </w:t>
      </w:r>
    </w:p>
    <w:p w14:paraId="3A9DB19E">
      <w:pPr>
        <w:spacing w:before="120" w:after="120" w:line="288" w:lineRule="auto"/>
        <w:ind w:left="0"/>
        <w:jc w:val="left"/>
        <w:rPr>
          <w:rFonts w:hint="eastAsia" w:ascii="Arial" w:hAnsi="Arial" w:eastAsia="等线" w:cs="Arial"/>
          <w:b/>
          <w:bCs/>
          <w:sz w:val="30"/>
          <w:szCs w:val="30"/>
        </w:rPr>
      </w:pPr>
      <w:r>
        <w:rPr>
          <w:rFonts w:hint="eastAsia" w:ascii="Arial" w:hAnsi="Arial" w:eastAsia="等线" w:cs="Arial"/>
          <w:b/>
          <w:bCs/>
          <w:sz w:val="30"/>
          <w:szCs w:val="30"/>
          <w:lang w:val="en-US" w:eastAsia="zh-CN"/>
        </w:rPr>
        <w:t>六、</w:t>
      </w:r>
      <w:r>
        <w:rPr>
          <w:rFonts w:hint="eastAsia" w:ascii="Arial" w:hAnsi="Arial" w:eastAsia="等线" w:cs="Arial"/>
          <w:b/>
          <w:bCs/>
          <w:sz w:val="30"/>
          <w:szCs w:val="30"/>
        </w:rPr>
        <w:t>改进与展望</w:t>
      </w:r>
    </w:p>
    <w:p w14:paraId="0467D3D3">
      <w:pPr>
        <w:spacing w:before="120" w:after="120" w:line="288" w:lineRule="auto"/>
        <w:ind w:left="0"/>
        <w:jc w:val="left"/>
        <w:rPr>
          <w:rFonts w:hint="eastAsia" w:ascii="Arial" w:hAnsi="Arial" w:eastAsia="等线" w:cs="Arial"/>
          <w:sz w:val="22"/>
        </w:rPr>
      </w:pPr>
      <w:r>
        <w:rPr>
          <w:rFonts w:hint="eastAsia" w:ascii="Arial" w:hAnsi="Arial" w:eastAsia="等线" w:cs="Arial"/>
          <w:sz w:val="22"/>
        </w:rPr>
        <w:t xml:space="preserve"> </w:t>
      </w:r>
    </w:p>
    <w:p w14:paraId="28F2923F">
      <w:pPr>
        <w:spacing w:before="120" w:after="120" w:line="288" w:lineRule="auto"/>
        <w:ind w:left="0"/>
        <w:jc w:val="left"/>
        <w:rPr>
          <w:rFonts w:hint="eastAsia" w:ascii="Arial" w:hAnsi="Arial" w:eastAsia="等线" w:cs="Arial"/>
          <w:sz w:val="22"/>
        </w:rPr>
      </w:pPr>
      <w:r>
        <w:rPr>
          <w:rFonts w:hint="eastAsia" w:ascii="Arial" w:hAnsi="Arial" w:eastAsia="等线" w:cs="Arial"/>
          <w:sz w:val="22"/>
        </w:rPr>
        <w:t>1. 拓展研究范围与样本量：后续可增加专题博物馆的调研，覆盖不同地域、不同类型的文化遗产；扩大测量样本，引入专业工具（如三维扫描、图像分析软件）获取精准数据，增强结论的科学性。</w:t>
      </w:r>
    </w:p>
    <w:p w14:paraId="600F8891">
      <w:pPr>
        <w:spacing w:before="120" w:after="120" w:line="288" w:lineRule="auto"/>
        <w:ind w:left="0"/>
        <w:jc w:val="left"/>
        <w:rPr>
          <w:rFonts w:hint="eastAsia" w:ascii="Arial" w:hAnsi="Arial" w:eastAsia="等线" w:cs="Arial"/>
          <w:sz w:val="22"/>
        </w:rPr>
      </w:pPr>
    </w:p>
    <w:p w14:paraId="25655558">
      <w:pPr>
        <w:spacing w:before="120" w:after="120" w:line="288" w:lineRule="auto"/>
        <w:ind w:left="0"/>
        <w:jc w:val="left"/>
        <w:rPr>
          <w:rFonts w:hint="eastAsia" w:ascii="Arial" w:hAnsi="Arial" w:eastAsia="等线" w:cs="Arial"/>
          <w:sz w:val="22"/>
        </w:rPr>
      </w:pPr>
      <w:r>
        <w:rPr>
          <w:rFonts w:hint="eastAsia" w:ascii="Arial" w:hAnsi="Arial" w:eastAsia="等线" w:cs="Arial"/>
          <w:sz w:val="22"/>
        </w:rPr>
        <w:t>2. 深化跨学科研究：联合历史、艺术、工程等领域的研究者，从多学科视角解读博物馆中的数学，探讨数学在文化传承中的作用机制；引入案例对比分析，总结不同类型博物馆的数学应用规律。</w:t>
      </w:r>
    </w:p>
    <w:p w14:paraId="67172EEF">
      <w:pPr>
        <w:spacing w:before="120" w:after="120" w:line="288" w:lineRule="auto"/>
        <w:ind w:left="0"/>
        <w:jc w:val="left"/>
        <w:rPr>
          <w:rFonts w:hint="eastAsia" w:ascii="Arial" w:hAnsi="Arial" w:eastAsia="等线" w:cs="Arial"/>
          <w:sz w:val="22"/>
        </w:rPr>
      </w:pPr>
    </w:p>
    <w:p w14:paraId="404C7CE2">
      <w:pPr>
        <w:numPr>
          <w:ilvl w:val="0"/>
          <w:numId w:val="39"/>
        </w:numPr>
        <w:spacing w:before="120" w:after="120" w:line="288" w:lineRule="auto"/>
        <w:ind w:left="0" w:leftChars="0" w:firstLine="0" w:firstLineChars="0"/>
        <w:jc w:val="left"/>
        <w:rPr>
          <w:rFonts w:hint="eastAsia" w:ascii="Arial" w:hAnsi="Arial" w:eastAsia="等线" w:cs="Arial"/>
          <w:sz w:val="22"/>
        </w:rPr>
      </w:pPr>
      <w:r>
        <w:rPr>
          <w:rFonts w:hint="eastAsia" w:ascii="Arial" w:hAnsi="Arial" w:eastAsia="等线" w:cs="Arial"/>
          <w:sz w:val="22"/>
        </w:rPr>
        <w:t> 推动成果转化与实践：将研究成果转化为面向中小学生的博物馆研学课程，设计“数学寻宝”“文物几何建模”等实践活动，让更多人通过博物馆感知数学的魅力；为博物馆的展陈设计、文物保护提供数学优化建议，实现研究的社会价值。</w:t>
      </w:r>
    </w:p>
    <w:p w14:paraId="17A695D0">
      <w:pPr>
        <w:widowControl w:val="0"/>
        <w:numPr>
          <w:ilvl w:val="0"/>
          <w:numId w:val="0"/>
        </w:numPr>
        <w:spacing w:before="120" w:after="120" w:line="288" w:lineRule="auto"/>
        <w:jc w:val="left"/>
        <w:rPr>
          <w:rFonts w:hint="eastAsia" w:ascii="Arial" w:hAnsi="Arial" w:eastAsia="等线" w:cs="Arial"/>
          <w:sz w:val="22"/>
        </w:rPr>
      </w:pPr>
    </w:p>
    <w:p w14:paraId="293A17AB">
      <w:pPr>
        <w:widowControl w:val="0"/>
        <w:numPr>
          <w:ilvl w:val="0"/>
          <w:numId w:val="0"/>
        </w:numPr>
        <w:spacing w:before="120" w:after="120" w:line="288" w:lineRule="auto"/>
        <w:jc w:val="left"/>
        <w:rPr>
          <w:rFonts w:hint="default" w:ascii="Arial" w:hAnsi="Arial" w:eastAsia="等线" w:cs="Arial"/>
          <w:sz w:val="30"/>
          <w:szCs w:val="30"/>
          <w:lang w:val="en-US" w:eastAsia="zh-CN"/>
        </w:rPr>
      </w:pPr>
      <w:r>
        <w:rPr>
          <w:rFonts w:hint="eastAsia" w:ascii="Arial" w:hAnsi="Arial" w:eastAsia="等线" w:cs="Arial"/>
          <w:sz w:val="30"/>
          <w:szCs w:val="30"/>
          <w:lang w:val="en-US" w:eastAsia="zh-CN"/>
        </w:rPr>
        <w:t>七、研究心得</w:t>
      </w:r>
    </w:p>
    <w:p w14:paraId="2EE91ACD">
      <w:pPr>
        <w:spacing w:before="120" w:after="120" w:line="288" w:lineRule="auto"/>
        <w:ind w:left="0"/>
        <w:jc w:val="left"/>
        <w:rPr>
          <w:rFonts w:hint="eastAsia"/>
        </w:rPr>
      </w:pPr>
    </w:p>
    <w:p w14:paraId="61321B05">
      <w:pPr>
        <w:spacing w:before="120" w:after="120" w:line="288" w:lineRule="auto"/>
        <w:ind w:left="0" w:firstLine="420" w:firstLineChars="200"/>
        <w:jc w:val="left"/>
        <w:rPr>
          <w:rFonts w:hint="eastAsia"/>
        </w:rPr>
      </w:pPr>
      <w:r>
        <w:rPr>
          <w:rFonts w:hint="eastAsia"/>
        </w:rPr>
        <w:t>本次以“博物馆中的数学”为主题开展实践探究，我们走进博物馆，从建筑空间、文物形制、工艺纹样、计量工具、展陈设计等多个维度，系统观察、记录与分析数学在历史文明与文化遗产中的广泛存在。通过实地观察、测量记录、资料查阅、小组讨论与模型验证，我们不仅发现数学并非孤立的公式与计算，更是贯穿人类生产、建造、艺术与管理的底层逻辑，更深刻体会到数学与历史、艺术、工程、生活的紧密联结，完成了一次从课本到现场、从抽象到具象的跨学科学习。</w:t>
      </w:r>
    </w:p>
    <w:p w14:paraId="010D18EF">
      <w:pPr>
        <w:spacing w:before="120" w:after="120" w:line="288" w:lineRule="auto"/>
        <w:ind w:firstLine="420" w:firstLineChars="200"/>
        <w:jc w:val="left"/>
        <w:rPr>
          <w:rFonts w:hint="eastAsia"/>
        </w:rPr>
      </w:pPr>
      <w:r>
        <w:rPr>
          <w:rFonts w:hint="eastAsia"/>
        </w:rPr>
        <w:t>在探究过程中，我们最直观的感受是：博物馆的建筑本身就是一部立体的数学教科书。无论是对称布局、比例尺度，还是空间序列与动线规划，都大量运用轴对称、中心对称、黄金分割、几何构图等数学原理。对称让建筑庄重稳定，黄金分割让视觉和谐舒适，几何结构让空间既实用又富有美感。我们意识到，古代工匠与现代建筑师都在以数学为工具，实现功能、结构与美学的统一，数学是建筑得以成立、传承与震撼人心的理性基石。</w:t>
      </w:r>
    </w:p>
    <w:p w14:paraId="6F3BC5E7">
      <w:pPr>
        <w:spacing w:before="120" w:after="120" w:line="288" w:lineRule="auto"/>
        <w:ind w:firstLine="420" w:firstLineChars="200"/>
        <w:jc w:val="left"/>
        <w:rPr>
          <w:rFonts w:hint="eastAsia"/>
        </w:rPr>
      </w:pPr>
      <w:r>
        <w:rPr>
          <w:rFonts w:hint="eastAsia"/>
        </w:rPr>
        <w:t>文物与器物中的数学，更让我们看见古人的智慧与严谨。从古代度量衡器具的标准化设计，到青铜器、陶瓷、玉器的形制比例；从算盘、算表等计算工具的进位与组合逻辑，到刘徽割圆术、牟合方盖所体现的极限与分割思想，数学始终服务于生产、测量、贸易与工程。古人用数学解决容积计算、距离测量、材料分配、结构受力等实际问题，把复杂经验转化为可重复、可推广的数学规则，让技术得以传承、文明得以延续。这些发现让我们明白：数学源于生活，用于生活，高于生活，它是人类认识世界、改造世界的通用语言。</w:t>
      </w:r>
    </w:p>
    <w:p w14:paraId="51586371">
      <w:pPr>
        <w:spacing w:before="120" w:after="120" w:line="288" w:lineRule="auto"/>
        <w:ind w:firstLine="420" w:firstLineChars="200"/>
        <w:jc w:val="left"/>
        <w:rPr>
          <w:rFonts w:hint="eastAsia"/>
        </w:rPr>
      </w:pPr>
      <w:r>
        <w:rPr>
          <w:rFonts w:hint="eastAsia"/>
        </w:rPr>
        <w:t>装饰纹样与艺术图案中的数学，则让我们感受到理性与美的高度融合。回纹、万字纹、菱形纹、缠枝纹等经典图案，以平移、旋转、反射、重复与周期规律构成秩序之美。每一种纹样背后，都有清晰的几何逻辑与数学规则。这种“有规则的创造”，让艺术既自由又严谨，既多变又统一。我们由此理解：数学是美学的底层框架，艺术是数学的感性表达，二者共同塑造了人类的审美与文化。</w:t>
      </w:r>
    </w:p>
    <w:p w14:paraId="042C6C9D">
      <w:pPr>
        <w:spacing w:before="120" w:after="120" w:line="288" w:lineRule="auto"/>
        <w:ind w:firstLine="420" w:firstLineChars="200"/>
        <w:jc w:val="left"/>
        <w:rPr>
          <w:rFonts w:hint="eastAsia"/>
        </w:rPr>
      </w:pPr>
      <w:r>
        <w:rPr>
          <w:rFonts w:hint="eastAsia"/>
        </w:rPr>
        <w:t>展陈与管理中的数学应用，让我们看到数学的现代价值。博物馆利用统计分析优化参观流线，用几何与拓扑原理设计监控布局，用数学模型开展文物数字化保护与修复，用数据管理藏品信息。数学让博物馆运营更高效、保护更科学、传播更精准。这提醒我们，数学不只是历史遗产，更是解决当代问题的重要方法。</w:t>
      </w:r>
    </w:p>
    <w:p w14:paraId="528587C5">
      <w:pPr>
        <w:spacing w:before="120" w:after="120" w:line="288" w:lineRule="auto"/>
        <w:ind w:firstLine="420" w:firstLineChars="200"/>
        <w:jc w:val="left"/>
        <w:rPr>
          <w:rFonts w:hint="eastAsia"/>
        </w:rPr>
      </w:pPr>
      <w:r>
        <w:rPr>
          <w:rFonts w:hint="eastAsia"/>
        </w:rPr>
        <w:t>本次探究也让我们在学习方式上获得成长。我们学会用数学眼光观察世界，用数学思维分析现象，用数学语言表达结论。从提出问题、实地取证，到合作讨论、归纳总结，我们提升了观察能力、实践能力与团队协作能力。我们也认识到自身的不足：对部分古代数学原理理解不够深入，测量与记录的规范性有待加强，跨学科知识的整合能力仍需提高。这些都将成为我们后续学习的方向。</w:t>
      </w:r>
    </w:p>
    <w:p w14:paraId="0977230F">
      <w:pPr>
        <w:spacing w:before="120" w:after="120" w:line="288" w:lineRule="auto"/>
        <w:ind w:firstLine="420" w:firstLineChars="200"/>
        <w:jc w:val="left"/>
      </w:pPr>
      <w:r>
        <w:rPr>
          <w:rFonts w:hint="eastAsia"/>
        </w:rPr>
        <w:t>总而言之，“博物馆中的数学”探究活动，让我们走出课堂、触摸历史、理解文化、感悟数学。数学不再是枯燥的符号与习题，而是藏在建筑里的秩序、藏在文物里的智慧、藏在艺术里的美感、藏在生活里的方法。它连接过去与现在，联通科学与人文，是人类文明共同的理性财富。未来，我们将继续带着数学的视角去观察、去思考、去创造，努力把数学知识应用于生活，在跨学科学习中不断提升综合素养，以更理性、更开阔的眼光认识世界、面向未来。</w:t>
      </w:r>
    </w:p>
    <w:sectPr>
      <w:headerReference r:id="rId3" w:type="default"/>
      <w:footerReference r:id="rId4" w:type="default"/>
      <w:pgSz w:w="11905" w:h="1684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Cambria">
    <w:panose1 w:val="02040503050406030204"/>
    <w:charset w:val="00"/>
    <w:family w:val="auto"/>
    <w:pitch w:val="default"/>
    <w:sig w:usb0="E00006FF" w:usb1="420024FF" w:usb2="02000000" w:usb3="00000000" w:csb0="2000019F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133D597"/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C5357AF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04E4E29"/>
    <w:multiLevelType w:val="singleLevel"/>
    <w:tmpl w:val="804E4E29"/>
    <w:lvl w:ilvl="0" w:tentative="0">
      <w:start w:val="1"/>
      <w:numFmt w:val="decimal"/>
      <w:lvlText w:val="%1."/>
      <w:lvlJc w:val="left"/>
      <w:rPr>
        <w:color w:val="3370FF"/>
      </w:rPr>
    </w:lvl>
  </w:abstractNum>
  <w:abstractNum w:abstractNumId="1">
    <w:nsid w:val="825EC3C5"/>
    <w:multiLevelType w:val="singleLevel"/>
    <w:tmpl w:val="825EC3C5"/>
    <w:lvl w:ilvl="0" w:tentative="0">
      <w:start w:val="1"/>
      <w:numFmt w:val="decimal"/>
      <w:lvlText w:val="%1."/>
      <w:lvlJc w:val="left"/>
      <w:rPr>
        <w:color w:val="3370FF"/>
      </w:rPr>
    </w:lvl>
  </w:abstractNum>
  <w:abstractNum w:abstractNumId="2">
    <w:nsid w:val="883B3669"/>
    <w:multiLevelType w:val="singleLevel"/>
    <w:tmpl w:val="883B3669"/>
    <w:lvl w:ilvl="0" w:tentative="0">
      <w:start w:val="2"/>
      <w:numFmt w:val="decimal"/>
      <w:lvlText w:val="%1."/>
      <w:lvlJc w:val="left"/>
      <w:rPr>
        <w:color w:val="3370FF"/>
      </w:rPr>
    </w:lvl>
  </w:abstractNum>
  <w:abstractNum w:abstractNumId="3">
    <w:nsid w:val="91B69C97"/>
    <w:multiLevelType w:val="singleLevel"/>
    <w:tmpl w:val="91B69C97"/>
    <w:lvl w:ilvl="0" w:tentative="0">
      <w:start w:val="1"/>
      <w:numFmt w:val="decimal"/>
      <w:lvlText w:val="%1."/>
      <w:lvlJc w:val="left"/>
      <w:rPr>
        <w:color w:val="3370FF"/>
      </w:rPr>
    </w:lvl>
  </w:abstractNum>
  <w:abstractNum w:abstractNumId="4">
    <w:nsid w:val="9377BC45"/>
    <w:multiLevelType w:val="singleLevel"/>
    <w:tmpl w:val="9377BC45"/>
    <w:lvl w:ilvl="0" w:tentative="0">
      <w:start w:val="1"/>
      <w:numFmt w:val="decimal"/>
      <w:lvlText w:val="%1."/>
      <w:lvlJc w:val="left"/>
      <w:rPr>
        <w:color w:val="3370FF"/>
      </w:rPr>
    </w:lvl>
  </w:abstractNum>
  <w:abstractNum w:abstractNumId="5">
    <w:nsid w:val="98CD717A"/>
    <w:multiLevelType w:val="singleLevel"/>
    <w:tmpl w:val="98CD717A"/>
    <w:lvl w:ilvl="0" w:tentative="0">
      <w:start w:val="1"/>
      <w:numFmt w:val="decimal"/>
      <w:lvlText w:val="%1."/>
      <w:lvlJc w:val="left"/>
      <w:rPr>
        <w:color w:val="3370FF"/>
      </w:rPr>
    </w:lvl>
  </w:abstractNum>
  <w:abstractNum w:abstractNumId="6">
    <w:nsid w:val="9C11E984"/>
    <w:multiLevelType w:val="singleLevel"/>
    <w:tmpl w:val="9C11E984"/>
    <w:lvl w:ilvl="0" w:tentative="0">
      <w:start w:val="3"/>
      <w:numFmt w:val="decimal"/>
      <w:lvlText w:val="%1."/>
      <w:lvlJc w:val="left"/>
      <w:rPr>
        <w:color w:val="3370FF"/>
      </w:rPr>
    </w:lvl>
  </w:abstractNum>
  <w:abstractNum w:abstractNumId="7">
    <w:nsid w:val="9C7198AA"/>
    <w:multiLevelType w:val="singleLevel"/>
    <w:tmpl w:val="9C7198AA"/>
    <w:lvl w:ilvl="0" w:tentative="0">
      <w:start w:val="1"/>
      <w:numFmt w:val="decimal"/>
      <w:lvlText w:val="%1."/>
      <w:lvlJc w:val="left"/>
      <w:rPr>
        <w:color w:val="3370FF"/>
      </w:rPr>
    </w:lvl>
  </w:abstractNum>
  <w:abstractNum w:abstractNumId="8">
    <w:nsid w:val="9D5D7490"/>
    <w:multiLevelType w:val="singleLevel"/>
    <w:tmpl w:val="9D5D7490"/>
    <w:lvl w:ilvl="0" w:tentative="0">
      <w:start w:val="2"/>
      <w:numFmt w:val="decimal"/>
      <w:lvlText w:val="%1."/>
      <w:lvlJc w:val="left"/>
      <w:rPr>
        <w:color w:val="3370FF"/>
      </w:rPr>
    </w:lvl>
  </w:abstractNum>
  <w:abstractNum w:abstractNumId="9">
    <w:nsid w:val="9DFC6F65"/>
    <w:multiLevelType w:val="singleLevel"/>
    <w:tmpl w:val="9DFC6F65"/>
    <w:lvl w:ilvl="0" w:tentative="0">
      <w:start w:val="3"/>
      <w:numFmt w:val="decimal"/>
      <w:lvlText w:val="%1."/>
      <w:lvlJc w:val="left"/>
      <w:rPr>
        <w:color w:val="3370FF"/>
      </w:rPr>
    </w:lvl>
  </w:abstractNum>
  <w:abstractNum w:abstractNumId="10">
    <w:nsid w:val="9F81B9F9"/>
    <w:multiLevelType w:val="singleLevel"/>
    <w:tmpl w:val="9F81B9F9"/>
    <w:lvl w:ilvl="0" w:tentative="0">
      <w:start w:val="4"/>
      <w:numFmt w:val="decimal"/>
      <w:lvlText w:val="%1."/>
      <w:lvlJc w:val="left"/>
      <w:rPr>
        <w:color w:val="3370FF"/>
      </w:rPr>
    </w:lvl>
  </w:abstractNum>
  <w:abstractNum w:abstractNumId="11">
    <w:nsid w:val="A9AC3AA7"/>
    <w:multiLevelType w:val="singleLevel"/>
    <w:tmpl w:val="A9AC3AA7"/>
    <w:lvl w:ilvl="0" w:tentative="0">
      <w:start w:val="3"/>
      <w:numFmt w:val="decimal"/>
      <w:lvlText w:val="%1."/>
      <w:lvlJc w:val="left"/>
      <w:rPr>
        <w:color w:val="3370FF"/>
      </w:rPr>
    </w:lvl>
  </w:abstractNum>
  <w:abstractNum w:abstractNumId="12">
    <w:nsid w:val="AAF3F3FA"/>
    <w:multiLevelType w:val="singleLevel"/>
    <w:tmpl w:val="AAF3F3FA"/>
    <w:lvl w:ilvl="0" w:tentative="0">
      <w:start w:val="3"/>
      <w:numFmt w:val="decimal"/>
      <w:lvlText w:val="%1."/>
      <w:lvlJc w:val="left"/>
      <w:rPr>
        <w:color w:val="3370FF"/>
      </w:rPr>
    </w:lvl>
  </w:abstractNum>
  <w:abstractNum w:abstractNumId="13">
    <w:nsid w:val="BCECA0B4"/>
    <w:multiLevelType w:val="singleLevel"/>
    <w:tmpl w:val="BCECA0B4"/>
    <w:lvl w:ilvl="0" w:tentative="0">
      <w:start w:val="2"/>
      <w:numFmt w:val="decimal"/>
      <w:lvlText w:val="%1."/>
      <w:lvlJc w:val="left"/>
      <w:rPr>
        <w:color w:val="3370FF"/>
      </w:rPr>
    </w:lvl>
  </w:abstractNum>
  <w:abstractNum w:abstractNumId="14">
    <w:nsid w:val="BE8A4F4C"/>
    <w:multiLevelType w:val="singleLevel"/>
    <w:tmpl w:val="BE8A4F4C"/>
    <w:lvl w:ilvl="0" w:tentative="0">
      <w:start w:val="3"/>
      <w:numFmt w:val="decimal"/>
      <w:lvlText w:val="%1."/>
      <w:lvlJc w:val="left"/>
      <w:rPr>
        <w:color w:val="3370FF"/>
      </w:rPr>
    </w:lvl>
  </w:abstractNum>
  <w:abstractNum w:abstractNumId="15">
    <w:nsid w:val="BF50FE6B"/>
    <w:multiLevelType w:val="singleLevel"/>
    <w:tmpl w:val="BF50FE6B"/>
    <w:lvl w:ilvl="0" w:tentative="0">
      <w:start w:val="1"/>
      <w:numFmt w:val="decimal"/>
      <w:lvlText w:val="%1."/>
      <w:lvlJc w:val="left"/>
      <w:rPr>
        <w:color w:val="3370FF"/>
      </w:rPr>
    </w:lvl>
  </w:abstractNum>
  <w:abstractNum w:abstractNumId="16">
    <w:nsid w:val="C90D1B09"/>
    <w:multiLevelType w:val="singleLevel"/>
    <w:tmpl w:val="C90D1B09"/>
    <w:lvl w:ilvl="0" w:tentative="0">
      <w:start w:val="2"/>
      <w:numFmt w:val="decimal"/>
      <w:lvlText w:val="%1."/>
      <w:lvlJc w:val="left"/>
      <w:rPr>
        <w:color w:val="3370FF"/>
      </w:rPr>
    </w:lvl>
  </w:abstractNum>
  <w:abstractNum w:abstractNumId="17">
    <w:nsid w:val="CD699D1D"/>
    <w:multiLevelType w:val="singleLevel"/>
    <w:tmpl w:val="CD699D1D"/>
    <w:lvl w:ilvl="0" w:tentative="0">
      <w:start w:val="3"/>
      <w:numFmt w:val="decimal"/>
      <w:lvlText w:val="%1."/>
      <w:lvlJc w:val="left"/>
      <w:rPr>
        <w:color w:val="3370FF"/>
      </w:rPr>
    </w:lvl>
  </w:abstractNum>
  <w:abstractNum w:abstractNumId="18">
    <w:nsid w:val="D1EB1714"/>
    <w:multiLevelType w:val="singleLevel"/>
    <w:tmpl w:val="D1EB1714"/>
    <w:lvl w:ilvl="0" w:tentative="0">
      <w:start w:val="1"/>
      <w:numFmt w:val="decimal"/>
      <w:lvlText w:val="%1."/>
      <w:lvlJc w:val="left"/>
      <w:rPr>
        <w:color w:val="3370FF"/>
      </w:rPr>
    </w:lvl>
  </w:abstractNum>
  <w:abstractNum w:abstractNumId="19">
    <w:nsid w:val="E0294EC7"/>
    <w:multiLevelType w:val="singleLevel"/>
    <w:tmpl w:val="E0294EC7"/>
    <w:lvl w:ilvl="0" w:tentative="0">
      <w:start w:val="4"/>
      <w:numFmt w:val="decimal"/>
      <w:lvlText w:val="%1."/>
      <w:lvlJc w:val="left"/>
      <w:rPr>
        <w:color w:val="3370FF"/>
      </w:rPr>
    </w:lvl>
  </w:abstractNum>
  <w:abstractNum w:abstractNumId="20">
    <w:nsid w:val="F3A33954"/>
    <w:multiLevelType w:val="singleLevel"/>
    <w:tmpl w:val="F3A33954"/>
    <w:lvl w:ilvl="0" w:tentative="0">
      <w:start w:val="1"/>
      <w:numFmt w:val="decimal"/>
      <w:lvlText w:val="%1."/>
      <w:lvlJc w:val="left"/>
      <w:rPr>
        <w:color w:val="3370FF"/>
      </w:rPr>
    </w:lvl>
  </w:abstractNum>
  <w:abstractNum w:abstractNumId="21">
    <w:nsid w:val="F4A942FE"/>
    <w:multiLevelType w:val="singleLevel"/>
    <w:tmpl w:val="F4A942FE"/>
    <w:lvl w:ilvl="0" w:tentative="0">
      <w:start w:val="3"/>
      <w:numFmt w:val="decimal"/>
      <w:lvlText w:val="%1."/>
      <w:lvlJc w:val="left"/>
      <w:rPr>
        <w:color w:val="3370FF"/>
      </w:rPr>
    </w:lvl>
  </w:abstractNum>
  <w:abstractNum w:abstractNumId="22">
    <w:nsid w:val="F585BF25"/>
    <w:multiLevelType w:val="singleLevel"/>
    <w:tmpl w:val="F585BF25"/>
    <w:lvl w:ilvl="0" w:tentative="0">
      <w:start w:val="3"/>
      <w:numFmt w:val="decimal"/>
      <w:lvlText w:val="%1."/>
      <w:lvlJc w:val="left"/>
      <w:rPr>
        <w:color w:val="3370FF"/>
      </w:rPr>
    </w:lvl>
  </w:abstractNum>
  <w:abstractNum w:abstractNumId="23">
    <w:nsid w:val="01836A6D"/>
    <w:multiLevelType w:val="singleLevel"/>
    <w:tmpl w:val="01836A6D"/>
    <w:lvl w:ilvl="0" w:tentative="0">
      <w:start w:val="3"/>
      <w:numFmt w:val="decimal"/>
      <w:lvlText w:val="%1."/>
      <w:lvlJc w:val="left"/>
      <w:rPr>
        <w:color w:val="3370FF"/>
      </w:rPr>
    </w:lvl>
  </w:abstractNum>
  <w:abstractNum w:abstractNumId="24">
    <w:nsid w:val="03C240C0"/>
    <w:multiLevelType w:val="singleLevel"/>
    <w:tmpl w:val="03C240C0"/>
    <w:lvl w:ilvl="0" w:tentative="0">
      <w:start w:val="2"/>
      <w:numFmt w:val="decimal"/>
      <w:lvlText w:val="%1."/>
      <w:lvlJc w:val="left"/>
      <w:rPr>
        <w:color w:val="3370FF"/>
      </w:rPr>
    </w:lvl>
  </w:abstractNum>
  <w:abstractNum w:abstractNumId="25">
    <w:nsid w:val="10D591E5"/>
    <w:multiLevelType w:val="singleLevel"/>
    <w:tmpl w:val="10D591E5"/>
    <w:lvl w:ilvl="0" w:tentative="0">
      <w:start w:val="2"/>
      <w:numFmt w:val="decimal"/>
      <w:lvlText w:val="%1."/>
      <w:lvlJc w:val="left"/>
      <w:rPr>
        <w:color w:val="3370FF"/>
      </w:rPr>
    </w:lvl>
  </w:abstractNum>
  <w:abstractNum w:abstractNumId="26">
    <w:nsid w:val="10F0DB0B"/>
    <w:multiLevelType w:val="singleLevel"/>
    <w:tmpl w:val="10F0DB0B"/>
    <w:lvl w:ilvl="0" w:tentative="0">
      <w:start w:val="4"/>
      <w:numFmt w:val="decimal"/>
      <w:lvlText w:val="%1."/>
      <w:lvlJc w:val="left"/>
      <w:rPr>
        <w:color w:val="3370FF"/>
      </w:rPr>
    </w:lvl>
  </w:abstractNum>
  <w:abstractNum w:abstractNumId="27">
    <w:nsid w:val="1450273B"/>
    <w:multiLevelType w:val="singleLevel"/>
    <w:tmpl w:val="1450273B"/>
    <w:lvl w:ilvl="0" w:tentative="0">
      <w:start w:val="4"/>
      <w:numFmt w:val="decimal"/>
      <w:lvlText w:val="%1."/>
      <w:lvlJc w:val="left"/>
      <w:rPr>
        <w:color w:val="3370FF"/>
      </w:rPr>
    </w:lvl>
  </w:abstractNum>
  <w:abstractNum w:abstractNumId="28">
    <w:nsid w:val="1AD50295"/>
    <w:multiLevelType w:val="singleLevel"/>
    <w:tmpl w:val="1AD50295"/>
    <w:lvl w:ilvl="0" w:tentative="0">
      <w:start w:val="1"/>
      <w:numFmt w:val="decimal"/>
      <w:lvlText w:val="%1."/>
      <w:lvlJc w:val="left"/>
      <w:rPr>
        <w:color w:val="3370FF"/>
      </w:rPr>
    </w:lvl>
  </w:abstractNum>
  <w:abstractNum w:abstractNumId="29">
    <w:nsid w:val="1BCBBCF0"/>
    <w:multiLevelType w:val="singleLevel"/>
    <w:tmpl w:val="1BCBBCF0"/>
    <w:lvl w:ilvl="0" w:tentative="0">
      <w:start w:val="2"/>
      <w:numFmt w:val="decimal"/>
      <w:lvlText w:val="%1."/>
      <w:lvlJc w:val="left"/>
      <w:rPr>
        <w:color w:val="3370FF"/>
      </w:rPr>
    </w:lvl>
  </w:abstractNum>
  <w:abstractNum w:abstractNumId="30">
    <w:nsid w:val="21B3B1B1"/>
    <w:multiLevelType w:val="singleLevel"/>
    <w:tmpl w:val="21B3B1B1"/>
    <w:lvl w:ilvl="0" w:tentative="0">
      <w:start w:val="3"/>
      <w:numFmt w:val="decimal"/>
      <w:lvlText w:val="%1."/>
      <w:lvlJc w:val="left"/>
      <w:rPr>
        <w:color w:val="3370FF"/>
      </w:rPr>
    </w:lvl>
  </w:abstractNum>
  <w:abstractNum w:abstractNumId="31">
    <w:nsid w:val="251342A6"/>
    <w:multiLevelType w:val="singleLevel"/>
    <w:tmpl w:val="251342A6"/>
    <w:lvl w:ilvl="0" w:tentative="0">
      <w:start w:val="2"/>
      <w:numFmt w:val="decimal"/>
      <w:lvlText w:val="%1."/>
      <w:lvlJc w:val="left"/>
      <w:rPr>
        <w:color w:val="3370FF"/>
      </w:rPr>
    </w:lvl>
  </w:abstractNum>
  <w:abstractNum w:abstractNumId="32">
    <w:nsid w:val="2B3F3F89"/>
    <w:multiLevelType w:val="singleLevel"/>
    <w:tmpl w:val="2B3F3F89"/>
    <w:lvl w:ilvl="0" w:tentative="0">
      <w:start w:val="1"/>
      <w:numFmt w:val="decimal"/>
      <w:lvlText w:val="%1."/>
      <w:lvlJc w:val="left"/>
      <w:rPr>
        <w:color w:val="3370FF"/>
      </w:rPr>
    </w:lvl>
  </w:abstractNum>
  <w:abstractNum w:abstractNumId="33">
    <w:nsid w:val="4A51D704"/>
    <w:multiLevelType w:val="singleLevel"/>
    <w:tmpl w:val="4A51D704"/>
    <w:lvl w:ilvl="0" w:tentative="0">
      <w:start w:val="2"/>
      <w:numFmt w:val="decimal"/>
      <w:lvlText w:val="%1."/>
      <w:lvlJc w:val="left"/>
      <w:rPr>
        <w:color w:val="3370FF"/>
      </w:rPr>
    </w:lvl>
  </w:abstractNum>
  <w:abstractNum w:abstractNumId="34">
    <w:nsid w:val="4CD1E351"/>
    <w:multiLevelType w:val="singleLevel"/>
    <w:tmpl w:val="4CD1E351"/>
    <w:lvl w:ilvl="0" w:tentative="0">
      <w:start w:val="1"/>
      <w:numFmt w:val="decimal"/>
      <w:lvlText w:val="%1."/>
      <w:lvlJc w:val="left"/>
      <w:rPr>
        <w:color w:val="3370FF"/>
      </w:rPr>
    </w:lvl>
  </w:abstractNum>
  <w:abstractNum w:abstractNumId="35">
    <w:nsid w:val="4D63189B"/>
    <w:multiLevelType w:val="singleLevel"/>
    <w:tmpl w:val="4D63189B"/>
    <w:lvl w:ilvl="0" w:tentative="0">
      <w:start w:val="5"/>
      <w:numFmt w:val="decimal"/>
      <w:lvlText w:val="%1."/>
      <w:lvlJc w:val="left"/>
      <w:rPr>
        <w:color w:val="3370FF"/>
      </w:rPr>
    </w:lvl>
  </w:abstractNum>
  <w:abstractNum w:abstractNumId="36">
    <w:nsid w:val="51C4BC33"/>
    <w:multiLevelType w:val="singleLevel"/>
    <w:tmpl w:val="51C4BC33"/>
    <w:lvl w:ilvl="0" w:tentative="0">
      <w:start w:val="2"/>
      <w:numFmt w:val="decimal"/>
      <w:lvlText w:val="%1."/>
      <w:lvlJc w:val="left"/>
      <w:rPr>
        <w:color w:val="3370FF"/>
      </w:rPr>
    </w:lvl>
  </w:abstractNum>
  <w:abstractNum w:abstractNumId="37">
    <w:nsid w:val="54701CA1"/>
    <w:multiLevelType w:val="singleLevel"/>
    <w:tmpl w:val="54701CA1"/>
    <w:lvl w:ilvl="0" w:tentative="0">
      <w:start w:val="2"/>
      <w:numFmt w:val="decimal"/>
      <w:lvlText w:val="%1."/>
      <w:lvlJc w:val="left"/>
      <w:rPr>
        <w:color w:val="3370FF"/>
      </w:rPr>
    </w:lvl>
  </w:abstractNum>
  <w:abstractNum w:abstractNumId="38">
    <w:nsid w:val="5FCE4367"/>
    <w:multiLevelType w:val="singleLevel"/>
    <w:tmpl w:val="5FCE4367"/>
    <w:lvl w:ilvl="0" w:tentative="0">
      <w:start w:val="4"/>
      <w:numFmt w:val="decimal"/>
      <w:lvlText w:val="%1."/>
      <w:lvlJc w:val="left"/>
      <w:rPr>
        <w:color w:val="3370FF"/>
      </w:rPr>
    </w:lvl>
  </w:abstractNum>
  <w:abstractNum w:abstractNumId="39">
    <w:nsid w:val="610EFE5C"/>
    <w:multiLevelType w:val="singleLevel"/>
    <w:tmpl w:val="610EFE5C"/>
    <w:lvl w:ilvl="0" w:tentative="0">
      <w:start w:val="4"/>
      <w:numFmt w:val="decimal"/>
      <w:lvlText w:val="%1."/>
      <w:lvlJc w:val="left"/>
      <w:rPr>
        <w:color w:val="3370FF"/>
      </w:rPr>
    </w:lvl>
  </w:abstractNum>
  <w:abstractNum w:abstractNumId="40">
    <w:nsid w:val="68B298F7"/>
    <w:multiLevelType w:val="singleLevel"/>
    <w:tmpl w:val="68B298F7"/>
    <w:lvl w:ilvl="0" w:tentative="0">
      <w:start w:val="2"/>
      <w:numFmt w:val="decimal"/>
      <w:lvlText w:val="%1."/>
      <w:lvlJc w:val="left"/>
      <w:rPr>
        <w:color w:val="3370FF"/>
      </w:rPr>
    </w:lvl>
  </w:abstractNum>
  <w:num w:numId="1">
    <w:abstractNumId w:val="4"/>
  </w:num>
  <w:num w:numId="2">
    <w:abstractNumId w:val="8"/>
  </w:num>
  <w:num w:numId="3">
    <w:abstractNumId w:val="12"/>
  </w:num>
  <w:num w:numId="4">
    <w:abstractNumId w:val="3"/>
  </w:num>
  <w:num w:numId="5">
    <w:abstractNumId w:val="29"/>
  </w:num>
  <w:num w:numId="6">
    <w:abstractNumId w:val="14"/>
  </w:num>
  <w:num w:numId="7">
    <w:abstractNumId w:val="27"/>
  </w:num>
  <w:num w:numId="8">
    <w:abstractNumId w:val="18"/>
  </w:num>
  <w:num w:numId="9">
    <w:abstractNumId w:val="40"/>
  </w:num>
  <w:num w:numId="10">
    <w:abstractNumId w:val="0"/>
  </w:num>
  <w:num w:numId="11">
    <w:abstractNumId w:val="13"/>
  </w:num>
  <w:num w:numId="12">
    <w:abstractNumId w:val="22"/>
  </w:num>
  <w:num w:numId="13">
    <w:abstractNumId w:val="34"/>
  </w:num>
  <w:num w:numId="14">
    <w:abstractNumId w:val="25"/>
  </w:num>
  <w:num w:numId="15">
    <w:abstractNumId w:val="6"/>
  </w:num>
  <w:num w:numId="16">
    <w:abstractNumId w:val="19"/>
  </w:num>
  <w:num w:numId="17">
    <w:abstractNumId w:val="28"/>
  </w:num>
  <w:num w:numId="18">
    <w:abstractNumId w:val="33"/>
  </w:num>
  <w:num w:numId="19">
    <w:abstractNumId w:val="11"/>
  </w:num>
  <w:num w:numId="20">
    <w:abstractNumId w:val="39"/>
  </w:num>
  <w:num w:numId="21">
    <w:abstractNumId w:val="1"/>
  </w:num>
  <w:num w:numId="22">
    <w:abstractNumId w:val="2"/>
  </w:num>
  <w:num w:numId="23">
    <w:abstractNumId w:val="23"/>
  </w:num>
  <w:num w:numId="24">
    <w:abstractNumId w:val="10"/>
  </w:num>
  <w:num w:numId="25">
    <w:abstractNumId w:val="15"/>
  </w:num>
  <w:num w:numId="26">
    <w:abstractNumId w:val="16"/>
  </w:num>
  <w:num w:numId="27">
    <w:abstractNumId w:val="21"/>
  </w:num>
  <w:num w:numId="28">
    <w:abstractNumId w:val="38"/>
  </w:num>
  <w:num w:numId="29">
    <w:abstractNumId w:val="20"/>
  </w:num>
  <w:num w:numId="30">
    <w:abstractNumId w:val="37"/>
  </w:num>
  <w:num w:numId="31">
    <w:abstractNumId w:val="30"/>
  </w:num>
  <w:num w:numId="32">
    <w:abstractNumId w:val="5"/>
  </w:num>
  <w:num w:numId="33">
    <w:abstractNumId w:val="24"/>
  </w:num>
  <w:num w:numId="34">
    <w:abstractNumId w:val="9"/>
  </w:num>
  <w:num w:numId="35">
    <w:abstractNumId w:val="32"/>
  </w:num>
  <w:num w:numId="36">
    <w:abstractNumId w:val="36"/>
  </w:num>
  <w:num w:numId="37">
    <w:abstractNumId w:val="17"/>
  </w:num>
  <w:num w:numId="38">
    <w:abstractNumId w:val="7"/>
  </w:num>
  <w:num w:numId="39">
    <w:abstractNumId w:val="31"/>
  </w:num>
  <w:num w:numId="40">
    <w:abstractNumId w:val="26"/>
  </w:num>
  <w:num w:numId="41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0"/>
  <w:bordersDoNotSurroundFooter w:val="0"/>
  <w:documentProtection w:enforcement="0"/>
  <w:displayHorizontalDrawingGridEvery w:val="1"/>
  <w:displayVerticalDrawingGridEvery w:val="1"/>
  <w:noPunctuationKerning w:val="1"/>
  <w:compat>
    <w:doNotExpandShiftReturn/>
    <w:doNotWrapTextWithPunct/>
    <w:doNotUseEastAsianBreakRules/>
    <w:useFELayout/>
    <w:doNotUseIndentAsNumberingTabStop/>
    <w:splitPgBreakAndParaMark/>
    <w:compatSetting w:name="compatibilityMode" w:uri="http://schemas.microsoft.com/office/word" w:val="12"/>
  </w:compat>
  <w:rsids>
    <w:rsidRoot w:val="00000000"/>
    <w:rsid w:val="0D684E0B"/>
    <w:rsid w:val="17EE07A8"/>
    <w:rsid w:val="20F776A3"/>
    <w:rsid w:val="2DD05FA5"/>
    <w:rsid w:val="55B94DD5"/>
    <w:rsid w:val="5EFD755C"/>
    <w:rsid w:val="64D5076B"/>
    <w:rsid w:val="6B991ABD"/>
    <w:rsid w:val="72356C2B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9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sz w:val="21"/>
      <w:szCs w:val="22"/>
    </w:rPr>
  </w:style>
  <w:style w:type="paragraph" w:styleId="2">
    <w:name w:val="heading 2"/>
    <w:basedOn w:val="1"/>
    <w:next w:val="1"/>
    <w:unhideWhenUsed/>
    <w:qFormat/>
    <w:uiPriority w:val="9"/>
    <w:pPr>
      <w:keepNext/>
      <w:keepLines/>
      <w:spacing w:before="200" w:after="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numbering" Target="numbering.xml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18</Pages>
  <Words>11791</Words>
  <Characters>12456</Characters>
  <TotalTime>0</TotalTime>
  <ScaleCrop>false</ScaleCrop>
  <LinksUpToDate>false</LinksUpToDate>
  <CharactersWithSpaces>12473</CharactersWithSpaces>
  <Application>WPS Office_12.1.0.23542_F1E327BC-269C-435d-A152-05C5408002CA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2026-02-27T11:11:00Z</dcterms:created>
  <dc:creator>Apache POI</dc:creator>
  <cp:lastModifiedBy>张秀全</cp:lastModifiedBy>
  <dcterms:modified xsi:type="dcterms:W3CDTF">2026-03-23T00:07:21Z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895EFD8CCE8A4AFA960245EA9AABD9BF_12</vt:lpwstr>
  </property>
  <property fmtid="{D5CDD505-2E9C-101B-9397-08002B2CF9AE}" pid="4" name="KSOTemplateDocerSaveRecord">
    <vt:lpwstr>eyJoZGlkIjoiYWRkMTIzOTViZDYyYzgyODU4NjNkMmMyMjI3MWQ3ZjQiLCJ1c2VySWQiOiIxNjkyNzQyMzkyIn0=</vt:lpwstr>
  </property>
</Properties>
</file>