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3AA5A">
      <w:pPr>
        <w:pStyle w:val="2"/>
        <w:jc w:val="both"/>
        <w:rPr>
          <w:rFonts w:hint="eastAsia"/>
          <w:color w:val="auto"/>
          <w:szCs w:val="21"/>
          <w:shd w:val="clear" w:color="auto" w:fill="auto"/>
          <w:lang w:val="en-US" w:eastAsia="zh-CN"/>
        </w:rPr>
      </w:pPr>
      <w:bookmarkStart w:id="0" w:name="heading_4"/>
    </w:p>
    <w:p w14:paraId="0874DBA8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64F2BA08">
      <w:pPr>
        <w:pStyle w:val="2"/>
        <w:jc w:val="center"/>
        <w:rPr>
          <w:rFonts w:hint="eastAsia" w:ascii="华文仿宋" w:hAnsi="华文仿宋" w:eastAsia="华文仿宋" w:cs="华文仿宋"/>
          <w:color w:val="auto"/>
          <w:sz w:val="40"/>
          <w:szCs w:val="40"/>
          <w:shd w:val="clear" w:color="auto" w:fill="auto"/>
          <w:lang w:val="en-US" w:eastAsia="zh-CN"/>
        </w:rPr>
      </w:pPr>
      <w:r>
        <w:rPr>
          <w:rFonts w:hint="eastAsia" w:ascii="华文仿宋" w:hAnsi="华文仿宋" w:eastAsia="华文仿宋" w:cs="华文仿宋"/>
          <w:color w:val="auto"/>
          <w:sz w:val="40"/>
          <w:szCs w:val="40"/>
          <w:shd w:val="clear" w:color="auto" w:fill="auto"/>
          <w:lang w:val="en-US" w:eastAsia="zh-CN"/>
        </w:rPr>
        <w:t>博物馆中的数学</w:t>
      </w:r>
    </w:p>
    <w:p w14:paraId="3AC71E88">
      <w:pPr>
        <w:pStyle w:val="2"/>
        <w:jc w:val="center"/>
        <w:rPr>
          <w:rFonts w:hint="eastAsia" w:ascii="华文仿宋" w:hAnsi="华文仿宋" w:eastAsia="华文仿宋" w:cs="华文仿宋"/>
          <w:color w:val="auto"/>
          <w:sz w:val="40"/>
          <w:szCs w:val="40"/>
          <w:shd w:val="clear" w:color="auto" w:fill="auto"/>
          <w:lang w:val="en-US" w:eastAsia="zh-CN"/>
        </w:rPr>
      </w:pPr>
      <w:r>
        <w:rPr>
          <w:rFonts w:hint="eastAsia" w:ascii="华文仿宋" w:hAnsi="华文仿宋" w:eastAsia="华文仿宋" w:cs="华文仿宋"/>
          <w:color w:val="auto"/>
          <w:sz w:val="40"/>
          <w:szCs w:val="40"/>
          <w:shd w:val="clear" w:color="auto" w:fill="auto"/>
          <w:lang w:val="en-US" w:eastAsia="zh-CN"/>
        </w:rPr>
        <w:t xml:space="preserve">  —基于文物、建筑与展陈的初中数学实践探究</w:t>
      </w:r>
    </w:p>
    <w:p w14:paraId="1CFB7C96">
      <w:pPr>
        <w:pStyle w:val="2"/>
        <w:jc w:val="center"/>
        <w:rPr>
          <w:rFonts w:hint="eastAsia"/>
          <w:color w:val="auto"/>
          <w:sz w:val="72"/>
          <w:szCs w:val="72"/>
          <w:shd w:val="clear" w:color="auto" w:fill="auto"/>
          <w:lang w:val="en-US" w:eastAsia="zh-CN"/>
        </w:rPr>
      </w:pPr>
    </w:p>
    <w:p w14:paraId="28358858">
      <w:pPr>
        <w:pStyle w:val="2"/>
        <w:jc w:val="center"/>
      </w:pPr>
      <w:r>
        <w:rPr>
          <w:rFonts w:hint="eastAsia"/>
          <w:color w:val="auto"/>
          <w:sz w:val="72"/>
          <w:szCs w:val="72"/>
          <w:shd w:val="clear" w:color="auto" w:fill="auto"/>
          <w:lang w:val="en-US" w:eastAsia="zh-CN"/>
        </w:rPr>
        <w:t>开题</w:t>
      </w:r>
      <w:r>
        <w:rPr>
          <w:rFonts w:hint="eastAsia"/>
          <w:color w:val="auto"/>
          <w:sz w:val="72"/>
          <w:szCs w:val="72"/>
          <w:shd w:val="clear" w:color="auto" w:fill="auto"/>
        </w:rPr>
        <w:t>报告</w:t>
      </w:r>
    </w:p>
    <w:p w14:paraId="3D7DDF54">
      <w:pPr>
        <w:pStyle w:val="2"/>
        <w:jc w:val="center"/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60AEC9E6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  <w:bookmarkStart w:id="19" w:name="_GoBack"/>
      <w:bookmarkEnd w:id="19"/>
    </w:p>
    <w:p w14:paraId="7F3FF271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47A6E6DA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019C46A5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50BE3876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59B141EC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5BB0E620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18021924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0662B686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0321555A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132DC563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3A26FE4D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52E233BC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10D9A05D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0B27F972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1AA6CE5E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6E0EB93D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0CD5830F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73823473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20C8D376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24538B85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48DEB6AF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58552A7B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0CF85630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688A8BEF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4F20443D">
      <w:pPr>
        <w:ind w:firstLine="2108" w:firstLineChars="700"/>
        <w:jc w:val="both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主</w:t>
      </w:r>
      <w:r>
        <w:rPr>
          <w:rFonts w:hint="eastAsia"/>
          <w:b/>
          <w:bCs/>
          <w:sz w:val="30"/>
          <w:szCs w:val="30"/>
        </w:rPr>
        <w:t>持人：石悦辰</w:t>
      </w:r>
    </w:p>
    <w:p w14:paraId="0142197B">
      <w:pPr>
        <w:ind w:firstLine="1807" w:firstLineChars="600"/>
        <w:jc w:val="both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小组成员：董子涵、白新睿、魏翊旭、修翔宇</w:t>
      </w:r>
    </w:p>
    <w:p w14:paraId="02518F05">
      <w:pPr>
        <w:ind w:firstLine="1807" w:firstLineChars="600"/>
        <w:jc w:val="both"/>
        <w:rPr>
          <w:rFonts w:hint="eastAsia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</w:rPr>
        <w:t>指导老师：</w:t>
      </w:r>
      <w:r>
        <w:rPr>
          <w:rFonts w:hint="eastAsia"/>
          <w:b/>
          <w:bCs/>
          <w:sz w:val="30"/>
          <w:szCs w:val="30"/>
          <w:lang w:val="en-US" w:eastAsia="zh-CN"/>
        </w:rPr>
        <w:t>张欣</w:t>
      </w:r>
    </w:p>
    <w:p w14:paraId="4CC4A3AF">
      <w:pPr>
        <w:ind w:firstLine="1807" w:firstLineChars="600"/>
        <w:jc w:val="both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</w:rPr>
        <w:t>学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    </w:t>
      </w:r>
      <w:r>
        <w:rPr>
          <w:rFonts w:hint="eastAsia"/>
          <w:b/>
          <w:bCs/>
          <w:sz w:val="30"/>
          <w:szCs w:val="30"/>
        </w:rPr>
        <w:t>校：</w:t>
      </w:r>
      <w:r>
        <w:rPr>
          <w:rFonts w:hint="eastAsia"/>
          <w:b/>
          <w:bCs/>
          <w:sz w:val="30"/>
          <w:szCs w:val="30"/>
          <w:lang w:eastAsia="zh-CN"/>
        </w:rPr>
        <w:t>徐州市矿大实验学校</w:t>
      </w:r>
    </w:p>
    <w:p w14:paraId="23F49EBC">
      <w:pPr>
        <w:jc w:val="center"/>
        <w:rPr>
          <w:rFonts w:hint="eastAsia"/>
          <w:b/>
          <w:bCs/>
          <w:sz w:val="30"/>
          <w:szCs w:val="30"/>
          <w:lang w:eastAsia="zh-CN"/>
        </w:rPr>
      </w:pPr>
    </w:p>
    <w:p w14:paraId="4A26F375">
      <w:pPr>
        <w:jc w:val="both"/>
        <w:rPr>
          <w:rFonts w:hint="eastAsia"/>
          <w:b/>
          <w:bCs/>
          <w:sz w:val="30"/>
          <w:szCs w:val="30"/>
          <w:lang w:eastAsia="zh-CN"/>
        </w:rPr>
      </w:pPr>
    </w:p>
    <w:p w14:paraId="6DA4D70F">
      <w:pPr>
        <w:spacing w:before="320" w:after="120" w:line="288" w:lineRule="auto"/>
        <w:ind w:left="0"/>
        <w:jc w:val="center"/>
        <w:outlineLvl w:val="1"/>
      </w:pPr>
      <w:r>
        <w:rPr>
          <w:rFonts w:ascii="Arial" w:hAnsi="Arial" w:eastAsia="等线" w:cs="Arial"/>
          <w:b/>
          <w:sz w:val="32"/>
        </w:rPr>
        <w:t>开题报告</w:t>
      </w:r>
      <w:bookmarkEnd w:id="0"/>
    </w:p>
    <w:p w14:paraId="197D34AE">
      <w:pPr>
        <w:spacing w:before="300" w:after="120" w:line="288" w:lineRule="auto"/>
        <w:ind w:left="0"/>
        <w:jc w:val="left"/>
        <w:outlineLvl w:val="2"/>
      </w:pPr>
      <w:bookmarkStart w:id="1" w:name="heading_5"/>
      <w:r>
        <w:rPr>
          <w:rFonts w:ascii="Arial" w:hAnsi="Arial" w:eastAsia="等线" w:cs="Arial"/>
          <w:b/>
          <w:sz w:val="30"/>
        </w:rPr>
        <w:t>一、课题名称</w:t>
      </w:r>
      <w:bookmarkEnd w:id="1"/>
    </w:p>
    <w:p w14:paraId="5C39440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博物馆中的数学——基于文物、建筑与展陈的初中数学实践探究</w:t>
      </w:r>
    </w:p>
    <w:p w14:paraId="71D17352">
      <w:pPr>
        <w:spacing w:before="300" w:after="120" w:line="288" w:lineRule="auto"/>
        <w:ind w:left="0"/>
        <w:jc w:val="left"/>
        <w:outlineLvl w:val="2"/>
      </w:pPr>
      <w:bookmarkStart w:id="2" w:name="heading_6"/>
      <w:r>
        <w:rPr>
          <w:rFonts w:ascii="Arial" w:hAnsi="Arial" w:eastAsia="等线" w:cs="Arial"/>
          <w:b/>
          <w:sz w:val="30"/>
        </w:rPr>
        <w:t>二、研究背景</w:t>
      </w:r>
      <w:bookmarkEnd w:id="2"/>
    </w:p>
    <w:p w14:paraId="03C00E9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数学是人类文明的重要组成部分，是一门贯穿生活、历史、艺术与科技的基础学科，更是培养逻辑思维、实践能力与创新意识的核心载体。《义务教育数学课程标准（2022年版）》明确提出，义务教育阶段的数学学习，要着力培养学生的核心素养，让学生“会用数学的眼光观察现实世界、会用数学的思维思考现实世界、会用数学的语言表达现实世界”，打破数学学习与生活实践的壁垒，实现“做中学、用中学、创中学”。</w:t>
      </w:r>
    </w:p>
    <w:p w14:paraId="233C32D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当前，初中数学教学多以课堂讲授、习题训练为主，学生长期处于“题海战术”的学习模式中，难以体会数学知识在真实场景中的应用价值，容易产生“数学无用”“数学枯燥”的误解，学习兴趣逐渐降低。许多学生能熟练背诵公式、解答习题，却无法用数学知识解释生活中的常见现象，难以将抽象的数学概念与具体事物联系起来，核心素养的培养流于形式。</w:t>
      </w:r>
    </w:p>
    <w:p w14:paraId="72B3F5C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博物馆是收藏、展示人类文明成果的重要场所，被称为“立体的教科书”“文明的容器”。无论是博物馆的建筑本身，还是馆内陈列的青铜器、瓷器、书画、古建筑模型、古代工具等展品，都蕴含着丰富的初中数学知识——从建筑的对称结构、黄金比例，到文物的几何形状、尺寸比例；从纹饰的周期规律、等分角度，到古代度量衡的计量原理，数学元素无处不在。将数学学习与博物馆研学活动相结合，让学生走出课堂，在真实的场景中观察、测量、分析、探究，既能让抽象的数学知识变得具象化、生活化，又能让学生体会数学的文化价值与美学价值，有效提升学习兴趣与综合素养，契合新课标对初中数学教学的要求。</w:t>
      </w:r>
    </w:p>
    <w:p w14:paraId="50AA532F">
      <w:pPr>
        <w:spacing w:before="300" w:after="120" w:line="288" w:lineRule="auto"/>
        <w:ind w:left="0"/>
        <w:jc w:val="left"/>
        <w:outlineLvl w:val="2"/>
      </w:pPr>
      <w:bookmarkStart w:id="3" w:name="heading_7"/>
      <w:r>
        <w:rPr>
          <w:rFonts w:ascii="Arial" w:hAnsi="Arial" w:eastAsia="等线" w:cs="Arial"/>
          <w:b/>
          <w:sz w:val="30"/>
        </w:rPr>
        <w:t>三、研究意义</w:t>
      </w:r>
      <w:bookmarkEnd w:id="3"/>
    </w:p>
    <w:p w14:paraId="48125D9D">
      <w:pPr>
        <w:spacing w:before="260" w:after="120" w:line="288" w:lineRule="auto"/>
        <w:ind w:left="0"/>
        <w:jc w:val="left"/>
        <w:outlineLvl w:val="3"/>
      </w:pPr>
      <w:bookmarkStart w:id="4" w:name="heading_8"/>
      <w:r>
        <w:rPr>
          <w:rFonts w:ascii="Arial" w:hAnsi="Arial" w:eastAsia="等线" w:cs="Arial"/>
          <w:b/>
          <w:sz w:val="28"/>
        </w:rPr>
        <w:t>（一）理论意义</w:t>
      </w:r>
      <w:bookmarkEnd w:id="4"/>
    </w:p>
    <w:p w14:paraId="16931739">
      <w:pPr>
        <w:numPr>
          <w:ilvl w:val="0"/>
          <w:numId w:val="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打通课本知识与真实场景的联系，深化学生对初中数学核心知识的理解与掌握。本课题聚焦初中数学中的几何图形、对称、比例、黄金分割、测量、统计、体积计算等核心知识点，通过挖掘博物馆中的数学元素，让学生在实践中验证课本知识，理解知识的本质内涵，避免机械记忆与死记硬背，实现知识的灵活运用。</w:t>
      </w:r>
    </w:p>
    <w:p w14:paraId="41E90318">
      <w:pPr>
        <w:numPr>
          <w:ilvl w:val="0"/>
          <w:numId w:val="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建立数学与历史、艺术、建筑、科技的跨学科联系，培养学生的跨学科思维。数学不是孤立的学科，而是贯穿各个领域的工具与语言。通过本研究，学生能体会到数学与古代文明、传统艺术、建筑技术的紧密关联，学会用数学的视角解读历史、欣赏艺术、理解科技，形成“跨学科融合”的思维模式，为后续的学习与发展奠定基础。</w:t>
      </w:r>
    </w:p>
    <w:p w14:paraId="11FA849B">
      <w:pPr>
        <w:numPr>
          <w:ilvl w:val="0"/>
          <w:numId w:val="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挖掘数学的文化价值与美学价值，丰富初中数学教学的内涵。数学不仅是一门严谨的学科，更是一种文化、一种美学。博物馆中的文物与建筑，体现了古人对数学规律的运用与追求，蕴含着深厚的数学文化与美学思想。本研究能让学生感受到数学的严谨之美、对称之美、比例之美，理解数学是人类文明的共同语言，提升数学文化素养。</w:t>
      </w:r>
    </w:p>
    <w:p w14:paraId="0CA20836">
      <w:pPr>
        <w:spacing w:before="260" w:after="120" w:line="288" w:lineRule="auto"/>
        <w:ind w:left="0"/>
        <w:jc w:val="left"/>
        <w:outlineLvl w:val="3"/>
      </w:pPr>
      <w:bookmarkStart w:id="5" w:name="heading_9"/>
      <w:r>
        <w:rPr>
          <w:rFonts w:ascii="Arial" w:hAnsi="Arial" w:eastAsia="等线" w:cs="Arial"/>
          <w:b/>
          <w:sz w:val="28"/>
        </w:rPr>
        <w:t>（二）实践意义</w:t>
      </w:r>
      <w:bookmarkEnd w:id="5"/>
    </w:p>
    <w:p w14:paraId="4DBA983B">
      <w:pPr>
        <w:numPr>
          <w:ilvl w:val="0"/>
          <w:numId w:val="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提升学生的实践能力与综合素养。通过实地研学、测量记录、数据分析、案例解析等环节，学生能熟练运用卷尺、量角器、直尺等工具，提升观察能力、测量能力、记录能力、数据分析能力与归纳推理能力；在小组合作中，能提升沟通能力、合作能力与问题解决能力，实现核心素养的全面提升。</w:t>
      </w:r>
    </w:p>
    <w:p w14:paraId="12A4F714">
      <w:pPr>
        <w:numPr>
          <w:ilvl w:val="0"/>
          <w:numId w:val="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激发学生的数学学习兴趣，转变学习态度。打破传统课堂的枯燥模式，让学生在博物馆的真实场景中发现数学、运用数学、感受数学的魅力，让学生意识到“生活处处有数学”，从而激发学习兴趣，从“被动学习”转变为“主动探究”，培养主动探究与终身学习的良好习惯。</w:t>
      </w:r>
    </w:p>
    <w:p w14:paraId="53B205B5">
      <w:pPr>
        <w:numPr>
          <w:ilvl w:val="0"/>
          <w:numId w:val="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为初中数学实践教学提供参考案例。本课题将数学知识与博物馆研学相结合，探索出一种“课堂+博物馆”的实践教学模式，能为初中数学教师提供可借鉴的教学案例，助力教师优化教学方法，推动初中数学实践教学的开展，提升教学质量。</w:t>
      </w:r>
    </w:p>
    <w:p w14:paraId="1BC96C16">
      <w:pPr>
        <w:spacing w:before="300" w:after="120" w:line="288" w:lineRule="auto"/>
        <w:ind w:left="0"/>
        <w:jc w:val="left"/>
        <w:outlineLvl w:val="2"/>
      </w:pPr>
      <w:bookmarkStart w:id="6" w:name="heading_10"/>
      <w:r>
        <w:rPr>
          <w:rFonts w:ascii="Arial" w:hAnsi="Arial" w:eastAsia="等线" w:cs="Arial"/>
          <w:b/>
          <w:sz w:val="30"/>
        </w:rPr>
        <w:t>四、研究内容</w:t>
      </w:r>
      <w:bookmarkEnd w:id="6"/>
    </w:p>
    <w:p w14:paraId="464C859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本课题以本地综合类博物馆（或历史博物馆、科技馆）为研究场所，聚焦博物馆内建筑、文物、纹饰、展陈、古代工具等载体，系统挖掘其中蕴含的初中数学元素，结合初中数学教材知识，开展实践探究，具体研究内容如下：</w:t>
      </w:r>
    </w:p>
    <w:p w14:paraId="3CA6C155">
      <w:pPr>
        <w:numPr>
          <w:ilvl w:val="0"/>
          <w:numId w:val="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博物馆建筑中的数学元素探究。重点观察博物馆的整体布局、外立面结构、内部空间设计，探究其中的对称（轴对称、中心对称）、几何图形（矩形、圆形、三角形、多边形）、黄金比例、空间结构、尺寸比例等数学知识，分析数学在建筑中的应用价值（如力学稳定性、视觉美观性、空间利用率）。</w:t>
      </w:r>
    </w:p>
    <w:p w14:paraId="4C5A06BF">
      <w:pPr>
        <w:numPr>
          <w:ilvl w:val="0"/>
          <w:numId w:val="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文物中的几何图形与对称规律探究。选取博物馆内典型文物（青铜器、陶器、瓷器、玉器、印章等），观察其外形、结构，分析其中包含的平面图形（正方形、矩形、圆形、三角形、多边形）与立体图形（圆柱、圆台、长方体、正方体、球体），探究文物的对称类型（轴对称、中心对称、旋转对称），总结古人运用几何图形与对称规律制作文物的特点。</w:t>
      </w:r>
    </w:p>
    <w:p w14:paraId="4155466C">
      <w:pPr>
        <w:numPr>
          <w:ilvl w:val="0"/>
          <w:numId w:val="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文物中的测量、比例与体积计算探究。对可近距离观察的文物进行尺寸测量（高度、宽度、口径、底径等），分析文物各部分的比例关系，探究古代工匠“以度制器”的思想；运用初中数学中的体积公式（圆柱、圆台、长方体等），估算文物的容积，理解古代量器的计量原理；结合三视图知识，分析文物的正面、左面、上面视图，实现课本知识与实践的结合。</w:t>
      </w:r>
    </w:p>
    <w:p w14:paraId="19EC9FC4">
      <w:pPr>
        <w:numPr>
          <w:ilvl w:val="0"/>
          <w:numId w:val="1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文物纹饰与图案中的数学规律探究。观察文物表面的纹饰（云纹、雷纹、回纹、龙纹、凤纹等）与书画作品的构图，探究其中的数学规律，包括周期重复规律、平移与旋转变换、角度等分、数列规律（层数、点数的等差数列）等，分析数学规律在纹饰设计中的作用。</w:t>
      </w:r>
    </w:p>
    <w:p w14:paraId="13F02181">
      <w:pPr>
        <w:numPr>
          <w:ilvl w:val="0"/>
          <w:numId w:val="1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博物馆展陈设计中的数学应用探究。观察博物馆的展陈布局、展柜设计、参观动线，探究其中的黄金分割应用（展品摆放位置、展柜高宽比例）、长度与距离计算（展柜间距、动线长度）、统计分析（展品类型、数量、年代分布的统计）等数学知识，分析数学在优化展陈效果、提升参观体验中的作用。</w:t>
      </w:r>
    </w:p>
    <w:p w14:paraId="0C836CD0">
      <w:pPr>
        <w:numPr>
          <w:ilvl w:val="0"/>
          <w:numId w:val="1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古代数学工具与数学思想探究。观察博物馆内陈列的古代数学工具（算筹、算盘、尺、量器、天文仪器等），了解其使用方法，探究其中蕴含的数学思想（十进制计数、位值原理、勾股定理、割圆术、比例思想），理解古代数学的发展历程与古人的数学智慧。</w:t>
      </w:r>
    </w:p>
    <w:p w14:paraId="04E295B1">
      <w:pPr>
        <w:spacing w:before="300" w:after="120" w:line="288" w:lineRule="auto"/>
        <w:ind w:left="0"/>
        <w:jc w:val="left"/>
        <w:outlineLvl w:val="2"/>
      </w:pPr>
      <w:bookmarkStart w:id="7" w:name="heading_11"/>
      <w:r>
        <w:rPr>
          <w:rFonts w:ascii="Arial" w:hAnsi="Arial" w:eastAsia="等线" w:cs="Arial"/>
          <w:b/>
          <w:sz w:val="30"/>
        </w:rPr>
        <w:t>五、研究方法</w:t>
      </w:r>
      <w:bookmarkEnd w:id="7"/>
    </w:p>
    <w:p w14:paraId="557BED6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为确保研究顺利开展，结合初中生的认知水平与实践能力，本课题采用多种研究方法相结合的方式，具体如下：</w:t>
      </w:r>
    </w:p>
    <w:p w14:paraId="08E947FA">
      <w:pPr>
        <w:numPr>
          <w:ilvl w:val="0"/>
          <w:numId w:val="1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文献研究法。课题组成员共同查阅初中数学教材（七年级至九年级），梳理对称、比例、黄金分割、几何图形、体积计算、三视图、统计等核心知识点；查阅博物馆官网资料、文物图鉴、古建筑与文物数学相关科普文章、书籍，了解博物馆的展品信息、建筑背景，为实地研学与数据分析提供理论支撑。</w:t>
      </w:r>
    </w:p>
    <w:p w14:paraId="07FAF7BB">
      <w:pPr>
        <w:numPr>
          <w:ilvl w:val="0"/>
          <w:numId w:val="1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实地调研法。组织课题组成员前往博物馆开展实地研学活动，分组对建筑、文物、纹饰、展陈等进行细致观察，用相机拍摄相关素材（建筑结构、文物外形、纹饰图案），做好详细记录，绘制简单的几何草图，确保研究素材的真实性与完整性。</w:t>
      </w:r>
    </w:p>
    <w:p w14:paraId="1BC59DF1">
      <w:pPr>
        <w:numPr>
          <w:ilvl w:val="0"/>
          <w:numId w:val="1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测量实验法。准备卷尺、量角器、直尺、笔记本、笔等工具，在博物馆工作人员允许的范围内，对可近距离接触的文物、建筑构件进行尺寸测量（高度、宽度、口径、角度等），记录测量数据；运用初中数学公式，对文物的体积、比例进行计算，验证数学规律在文物中的应用。</w:t>
      </w:r>
    </w:p>
    <w:p w14:paraId="3332E815">
      <w:pPr>
        <w:numPr>
          <w:ilvl w:val="0"/>
          <w:numId w:val="1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数据统计法。对实地研学收集的测量数据、图片素材进行分类整理，统计文物类型、几何图形出现频率、对称类型占比、比例数据等，运用Excel制作条形图、扇形图、折线图等，直观呈现数据规律，为研究结论提供数据支撑。</w:t>
      </w:r>
    </w:p>
    <w:p w14:paraId="3507BD99">
      <w:pPr>
        <w:numPr>
          <w:ilvl w:val="0"/>
          <w:numId w:val="1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案例分析法。选取3-5个典型文物、建筑或纹饰作为研究案例，进行深度解析，详细分析其中蕴含的数学知识、数学规律，结合课本知识进行对比验证，总结数学在不同载体中的应用特点，增强研究的针对性与说服力。</w:t>
      </w:r>
    </w:p>
    <w:p w14:paraId="65949C68">
      <w:pPr>
        <w:numPr>
          <w:ilvl w:val="0"/>
          <w:numId w:val="1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小组合作法。将课题组成员分为若干小组，明确分工（组长统筹协调、记录员负责记录、测量员负责测量、摄影师负责拍摄、数据分析员负责数据整理与分析、报告撰写员负责报告撰写），定期开展小组讨论，交流研究心得，共同解决研究过程中遇到的问题，分工合作、协同完成研究任务。</w:t>
      </w:r>
    </w:p>
    <w:p w14:paraId="0E28B466">
      <w:pPr>
        <w:spacing w:before="300" w:after="120" w:line="288" w:lineRule="auto"/>
        <w:ind w:left="0"/>
        <w:jc w:val="left"/>
        <w:outlineLvl w:val="2"/>
      </w:pPr>
      <w:bookmarkStart w:id="8" w:name="heading_12"/>
      <w:r>
        <w:rPr>
          <w:rFonts w:ascii="Arial" w:hAnsi="Arial" w:eastAsia="等线" w:cs="Arial"/>
          <w:b/>
          <w:sz w:val="30"/>
        </w:rPr>
        <w:t>六、研究方案与时间安排（共计8周）</w:t>
      </w:r>
      <w:bookmarkEnd w:id="8"/>
    </w:p>
    <w:p w14:paraId="1E8F189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为确保研究有序推进，结合初中生的学习节奏，制定详细的研究方案与时间安排，具体如下：</w:t>
      </w:r>
    </w:p>
    <w:p w14:paraId="6CA5A05E">
      <w:pPr>
        <w:spacing w:before="260" w:after="120" w:line="288" w:lineRule="auto"/>
        <w:ind w:left="0"/>
        <w:jc w:val="left"/>
        <w:outlineLvl w:val="3"/>
      </w:pPr>
      <w:bookmarkStart w:id="9" w:name="heading_13"/>
      <w:r>
        <w:rPr>
          <w:rFonts w:ascii="Arial" w:hAnsi="Arial" w:eastAsia="等线" w:cs="Arial"/>
          <w:b/>
          <w:sz w:val="28"/>
        </w:rPr>
        <w:t>第1周：准备阶段（启动与分工）</w:t>
      </w:r>
      <w:bookmarkEnd w:id="9"/>
    </w:p>
    <w:p w14:paraId="6D8D8C72">
      <w:pPr>
        <w:numPr>
          <w:ilvl w:val="0"/>
          <w:numId w:val="1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确定课题研究方向，明确“博物馆中的数学”这一核心主题，召开课题启动会，统一研究思路。</w:t>
      </w:r>
    </w:p>
    <w:p w14:paraId="05367809">
      <w:pPr>
        <w:numPr>
          <w:ilvl w:val="0"/>
          <w:numId w:val="2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组建课题小组，明确小组分工，选举组长1名，负责统筹协调；其余成员根据自身特长，分别承担记录、测量、拍摄、数据分析、报告撰写等任务。</w:t>
      </w:r>
    </w:p>
    <w:p w14:paraId="4DECA567">
      <w:pPr>
        <w:numPr>
          <w:ilvl w:val="0"/>
          <w:numId w:val="2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初步学习初中数学相关知识点，重点梳理对称、几何图形、比例、体积计算等内容，明确研究的知识基础。</w:t>
      </w:r>
    </w:p>
    <w:p w14:paraId="115EA571">
      <w:pPr>
        <w:numPr>
          <w:ilvl w:val="0"/>
          <w:numId w:val="2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制定博物馆研学路线，提前联系博物馆，了解开放时间、参观注意事项，设计《博物馆数学观察记录表》，明确观察、记录、测量的重点内容。</w:t>
      </w:r>
    </w:p>
    <w:p w14:paraId="36625D13">
      <w:pPr>
        <w:spacing w:before="260" w:after="120" w:line="288" w:lineRule="auto"/>
        <w:ind w:left="0"/>
        <w:jc w:val="left"/>
        <w:outlineLvl w:val="3"/>
      </w:pPr>
      <w:bookmarkStart w:id="10" w:name="heading_14"/>
      <w:r>
        <w:rPr>
          <w:rFonts w:ascii="Arial" w:hAnsi="Arial" w:eastAsia="等线" w:cs="Arial"/>
          <w:b/>
          <w:sz w:val="28"/>
        </w:rPr>
        <w:t>第2周：文献学习阶段（理论储备）</w:t>
      </w:r>
      <w:bookmarkEnd w:id="10"/>
    </w:p>
    <w:p w14:paraId="3A33FAAC">
      <w:pPr>
        <w:numPr>
          <w:ilvl w:val="0"/>
          <w:numId w:val="2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小组共同查阅初中数学教材，梳理七年级至九年级相关核心知识点，整理成知识点清单，确保研究内容与课本知识紧密结合。</w:t>
      </w:r>
    </w:p>
    <w:p w14:paraId="7D8D9009">
      <w:pPr>
        <w:numPr>
          <w:ilvl w:val="0"/>
          <w:numId w:val="2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收集博物馆相关资料，包括博物馆简介、展品分类、重点文物介绍、建筑背景等，通过博物馆官网、科普文章、文物图鉴等渠道，了解展品的历史背景与特点。</w:t>
      </w:r>
    </w:p>
    <w:p w14:paraId="63732610">
      <w:pPr>
        <w:numPr>
          <w:ilvl w:val="0"/>
          <w:numId w:val="2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查阅文物与数学相关的科普资料，了解古代工匠运用数学知识制作文物的案例，学习测量、数据分析的基本方法，为实地研学做好理论准备。</w:t>
      </w:r>
    </w:p>
    <w:p w14:paraId="22E667CD">
      <w:pPr>
        <w:numPr>
          <w:ilvl w:val="0"/>
          <w:numId w:val="2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召开小组讨论会议，交流文献学习心得，明确实地研学的重点的方向，修改完善《博物馆数学观察记录表》。</w:t>
      </w:r>
    </w:p>
    <w:p w14:paraId="4EB972E0">
      <w:pPr>
        <w:spacing w:before="260" w:after="120" w:line="288" w:lineRule="auto"/>
        <w:ind w:left="0"/>
        <w:jc w:val="left"/>
        <w:outlineLvl w:val="3"/>
      </w:pPr>
      <w:bookmarkStart w:id="11" w:name="heading_15"/>
      <w:r>
        <w:rPr>
          <w:rFonts w:ascii="Arial" w:hAnsi="Arial" w:eastAsia="等线" w:cs="Arial"/>
          <w:b/>
          <w:sz w:val="28"/>
        </w:rPr>
        <w:t>第3周：实地研学阶段（数据采集）</w:t>
      </w:r>
      <w:bookmarkEnd w:id="11"/>
    </w:p>
    <w:p w14:paraId="287C8386">
      <w:pPr>
        <w:numPr>
          <w:ilvl w:val="0"/>
          <w:numId w:val="2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组织课题组成员前往博物馆开展实地研学活动，全程遵守博物馆规定，不触摸文物、不随意拍摄禁止拍摄的展品。</w:t>
      </w:r>
    </w:p>
    <w:p w14:paraId="65EB9B51">
      <w:pPr>
        <w:numPr>
          <w:ilvl w:val="0"/>
          <w:numId w:val="2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分组开展观察、测量、记录、拍摄工作：测量组负责对建筑构件、可接触文物进行尺寸、角度测量，记录准确数据；拍摄组负责拍摄建筑结构、文物外形、纹饰图案等素材，标注拍摄位置与展品名称；记录组负责填写《博物馆数学观察记录表》，详细记录观察到的数学元素、测量数据、疑问等。</w:t>
      </w:r>
    </w:p>
    <w:p w14:paraId="41F6BC1B">
      <w:pPr>
        <w:numPr>
          <w:ilvl w:val="0"/>
          <w:numId w:val="2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重点采集以下素材：博物馆建筑的对称结构、几何形状；青铜器、陶器、瓷器的外形尺寸与比例；文物表面的纹饰图案；展陈布局与展柜设计；古代数学工具的外形与结构。</w:t>
      </w:r>
    </w:p>
    <w:p w14:paraId="62A8E47A">
      <w:pPr>
        <w:numPr>
          <w:ilvl w:val="0"/>
          <w:numId w:val="3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研学结束后，召开小组会议，整理当天采集的素材与数据，核对测量数据的准确性，补充完善观察记录。</w:t>
      </w:r>
    </w:p>
    <w:p w14:paraId="017B8D2C">
      <w:pPr>
        <w:spacing w:before="260" w:after="120" w:line="288" w:lineRule="auto"/>
        <w:ind w:left="0"/>
        <w:jc w:val="left"/>
        <w:outlineLvl w:val="3"/>
      </w:pPr>
      <w:bookmarkStart w:id="12" w:name="heading_16"/>
      <w:r>
        <w:rPr>
          <w:rFonts w:ascii="Arial" w:hAnsi="Arial" w:eastAsia="等线" w:cs="Arial"/>
          <w:b/>
          <w:sz w:val="28"/>
        </w:rPr>
        <w:t>第4周：数据整理阶段（素材梳理）</w:t>
      </w:r>
      <w:bookmarkEnd w:id="12"/>
    </w:p>
    <w:p w14:paraId="0FD1440D">
      <w:pPr>
        <w:numPr>
          <w:ilvl w:val="0"/>
          <w:numId w:val="3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对实地研学采集的图片、测量数据、观察记录进行分类整理，按“建筑、文物、纹饰、展陈、古代工具”五大类别划分，建立素材文件夹。</w:t>
      </w:r>
    </w:p>
    <w:p w14:paraId="6E87F027">
      <w:pPr>
        <w:numPr>
          <w:ilvl w:val="0"/>
          <w:numId w:val="3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核对测量数据，对异常数据进行重新核查（如测量误差过大的数据），补充完善缺失的记录；对拍摄的图片进行筛选，选取清晰、有代表性的图片，标注图片名称、拍摄位置、蕴含的数学元素。</w:t>
      </w:r>
    </w:p>
    <w:p w14:paraId="22F64054">
      <w:pPr>
        <w:numPr>
          <w:ilvl w:val="0"/>
          <w:numId w:val="3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梳理文物、建筑的类型，统计各类别中几何图形、对称类型的出现频率，初步整理成简单的统计表格，为后续的数学分析做好准备。</w:t>
      </w:r>
    </w:p>
    <w:p w14:paraId="2C17E4E5">
      <w:pPr>
        <w:numPr>
          <w:ilvl w:val="0"/>
          <w:numId w:val="3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筛选典型研究案例，选取3-5个具有代表性的文物、建筑或纹饰（如青铜鼎、陶瓷瓶、博物馆穹顶、云纹纹饰），作为后续深度解析的对象。</w:t>
      </w:r>
    </w:p>
    <w:p w14:paraId="42FA123E">
      <w:pPr>
        <w:spacing w:before="260" w:after="120" w:line="288" w:lineRule="auto"/>
        <w:ind w:left="0"/>
        <w:jc w:val="left"/>
        <w:outlineLvl w:val="3"/>
      </w:pPr>
      <w:bookmarkStart w:id="13" w:name="heading_17"/>
      <w:r>
        <w:rPr>
          <w:rFonts w:ascii="Arial" w:hAnsi="Arial" w:eastAsia="等线" w:cs="Arial"/>
          <w:b/>
          <w:sz w:val="28"/>
        </w:rPr>
        <w:t>第5周：数学分析阶段（规律探究）</w:t>
      </w:r>
      <w:bookmarkEnd w:id="13"/>
    </w:p>
    <w:p w14:paraId="776C09F6">
      <w:pPr>
        <w:numPr>
          <w:ilvl w:val="0"/>
          <w:numId w:val="3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运用初中数学知识，对整理后的测量数据进行分析：计算文物各部分的比例关系，验证是否接近黄金分割（1:1.618）；运用体积公式，估算文物的容积；分析建筑、文物的对称类型，绘制对称示意图。</w:t>
      </w:r>
    </w:p>
    <w:p w14:paraId="670F153D">
      <w:pPr>
        <w:numPr>
          <w:ilvl w:val="0"/>
          <w:numId w:val="3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对统计的数据进行分析，制作条形图、扇形图，直观呈现几何图形出现频率、对称类型占比等规律，总结博物馆中数学元素的分布特点。</w:t>
      </w:r>
    </w:p>
    <w:p w14:paraId="5164D217">
      <w:pPr>
        <w:numPr>
          <w:ilvl w:val="0"/>
          <w:numId w:val="3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结合课本知识，对采集的素材进行解读，分析数学元素在建筑、文物、纹饰中的应用价值，如三角形的稳定性、圆形的受力均匀性、对称的美学价值等。</w:t>
      </w:r>
    </w:p>
    <w:p w14:paraId="7FCD79AE">
      <w:pPr>
        <w:numPr>
          <w:ilvl w:val="0"/>
          <w:numId w:val="3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召开小组讨论会议，交流分析结果，解决分析过程中遇到的问题（如复杂几何体的体积计算、比例关系的解读），修正分析错误。</w:t>
      </w:r>
    </w:p>
    <w:p w14:paraId="64E85AB7">
      <w:pPr>
        <w:spacing w:before="260" w:after="120" w:line="288" w:lineRule="auto"/>
        <w:ind w:left="0"/>
        <w:jc w:val="left"/>
        <w:outlineLvl w:val="3"/>
      </w:pPr>
      <w:bookmarkStart w:id="14" w:name="heading_18"/>
      <w:r>
        <w:rPr>
          <w:rFonts w:ascii="Arial" w:hAnsi="Arial" w:eastAsia="等线" w:cs="Arial"/>
          <w:b/>
          <w:sz w:val="28"/>
        </w:rPr>
        <w:t>第6周：案例深化阶段（深度解析）</w:t>
      </w:r>
      <w:bookmarkEnd w:id="14"/>
    </w:p>
    <w:p w14:paraId="51254BFB">
      <w:pPr>
        <w:numPr>
          <w:ilvl w:val="0"/>
          <w:numId w:val="3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对筛选出的典型案例进行深度解析，每个案例从“展品简介、观察发现、数学元素分析、课本知识结合、总结”五个方面展开，详细解读其中蕴含的数学知识与规律。</w:t>
      </w:r>
    </w:p>
    <w:p w14:paraId="543F3920">
      <w:pPr>
        <w:numPr>
          <w:ilvl w:val="0"/>
          <w:numId w:val="4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例如，对青铜鼎的解析：介绍青铜鼎的历史背景与用途，观察其外形结构（口沿、腹身、足），分析其几何图形（矩形、圆柱、三棱柱）与对称类型（轴对称），计算其高宽比例，结合课本中的立体图形、对称知识，总结古人运用数学知识制作青铜鼎的智慧。</w:t>
      </w:r>
    </w:p>
    <w:p w14:paraId="72256292">
      <w:pPr>
        <w:numPr>
          <w:ilvl w:val="0"/>
          <w:numId w:val="4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小组成员分工完成案例解析，每个成员负责1-2个案例，完成后小组内互相审核、修改，确保案例解析准确、详细，贴合初中数学知识水平。</w:t>
      </w:r>
    </w:p>
    <w:p w14:paraId="2BDD9776">
      <w:pPr>
        <w:numPr>
          <w:ilvl w:val="0"/>
          <w:numId w:val="4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整理案例解析内容，形成《典型案例解析集》，为结题报告的撰写提供核心素材。</w:t>
      </w:r>
    </w:p>
    <w:p w14:paraId="7193C0C5">
      <w:pPr>
        <w:spacing w:before="260" w:after="120" w:line="288" w:lineRule="auto"/>
        <w:ind w:left="0"/>
        <w:jc w:val="left"/>
        <w:outlineLvl w:val="3"/>
      </w:pPr>
      <w:bookmarkStart w:id="15" w:name="heading_19"/>
      <w:r>
        <w:rPr>
          <w:rFonts w:ascii="Arial" w:hAnsi="Arial" w:eastAsia="等线" w:cs="Arial"/>
          <w:b/>
          <w:sz w:val="28"/>
        </w:rPr>
        <w:t>第7周：报告撰写阶段（成果整理）</w:t>
      </w:r>
      <w:bookmarkEnd w:id="15"/>
    </w:p>
    <w:p w14:paraId="23925ED7">
      <w:pPr>
        <w:numPr>
          <w:ilvl w:val="0"/>
          <w:numId w:val="4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明确开题报告与结题报告的撰写要求，结合前期的文献学习、实地研学、数据分析、案例解析，由报告撰写员牵头，小组成员共同参与，撰写开题报告与结题报告。</w:t>
      </w:r>
    </w:p>
    <w:p w14:paraId="5271C5D1">
      <w:pPr>
        <w:numPr>
          <w:ilvl w:val="0"/>
          <w:numId w:val="4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开题报告重点撰写研究背景、研究意义、研究内容、研究方法、研究方案等内容，确保逻辑清晰、内容详实，字数控制在3000字左右；结题报告重点撰写研究概述、研究过程、具体研究内容、案例解析、研究结论等内容，字数控制在5000字左右。</w:t>
      </w:r>
    </w:p>
    <w:p w14:paraId="0EBE994B">
      <w:pPr>
        <w:numPr>
          <w:ilvl w:val="0"/>
          <w:numId w:val="4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整理研究过程中的相关素材，包括观察记录表、测量数据、图片素材、统计图表、案例解析集等，插入到报告中，做好标注与说明；对报告进行排版，确保格式规范、条理清晰。</w:t>
      </w:r>
    </w:p>
    <w:p w14:paraId="1E170E30">
      <w:pPr>
        <w:numPr>
          <w:ilvl w:val="0"/>
          <w:numId w:val="4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小组成员共同审核报告内容，修正错别字、语病，完善内容表述，确保报告的准确性与完整性。</w:t>
      </w:r>
    </w:p>
    <w:p w14:paraId="2788DFCA">
      <w:pPr>
        <w:spacing w:before="260" w:after="120" w:line="288" w:lineRule="auto"/>
        <w:ind w:left="0"/>
        <w:jc w:val="left"/>
        <w:outlineLvl w:val="3"/>
      </w:pPr>
      <w:bookmarkStart w:id="16" w:name="heading_20"/>
      <w:r>
        <w:rPr>
          <w:rFonts w:ascii="Arial" w:hAnsi="Arial" w:eastAsia="等线" w:cs="Arial"/>
          <w:b/>
          <w:sz w:val="28"/>
        </w:rPr>
        <w:t>第8周：修改完善与展示阶段（成果定稿）</w:t>
      </w:r>
      <w:bookmarkEnd w:id="16"/>
    </w:p>
    <w:p w14:paraId="349CEBFA">
      <w:pPr>
        <w:numPr>
          <w:ilvl w:val="0"/>
          <w:numId w:val="4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对开题报告、结题报告进行最终修改完善，结合指导教师的意见，调整报告内容、优化排版，确保报告符合初中生研究报告的要求，字数达到8000字左右。</w:t>
      </w:r>
    </w:p>
    <w:p w14:paraId="024CA196">
      <w:pPr>
        <w:numPr>
          <w:ilvl w:val="0"/>
          <w:numId w:val="4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整理研究成果，包括开题报告、结题报告、观察记录表、测量数据、图片素材、统计图表、案例解析集、研究心得等，整理成完整的研究成果档案。</w:t>
      </w:r>
    </w:p>
    <w:p w14:paraId="6F06DDB8">
      <w:pPr>
        <w:numPr>
          <w:ilvl w:val="0"/>
          <w:numId w:val="4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准备成果展示，制作简单的PPT，梳理研究过程与核心成果，小组成员分工准备展示发言，向班级同学、指导教师展示研究成果。</w:t>
      </w:r>
    </w:p>
    <w:p w14:paraId="123068BF">
      <w:pPr>
        <w:numPr>
          <w:ilvl w:val="0"/>
          <w:numId w:val="5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总结研究过程中的经验与不足，撰写研究反思，为后续的研究与学习提供参考。</w:t>
      </w:r>
    </w:p>
    <w:p w14:paraId="1C72CBAC">
      <w:pPr>
        <w:spacing w:before="300" w:after="120" w:line="288" w:lineRule="auto"/>
        <w:ind w:left="0"/>
        <w:jc w:val="left"/>
        <w:outlineLvl w:val="2"/>
      </w:pPr>
      <w:bookmarkStart w:id="17" w:name="heading_22"/>
      <w:r>
        <w:rPr>
          <w:rFonts w:hint="eastAsia" w:ascii="Arial" w:hAnsi="Arial" w:eastAsia="等线" w:cs="Arial"/>
          <w:b/>
          <w:sz w:val="30"/>
          <w:lang w:val="en-US" w:eastAsia="zh-CN"/>
        </w:rPr>
        <w:t>七</w:t>
      </w:r>
      <w:r>
        <w:rPr>
          <w:rFonts w:ascii="Arial" w:hAnsi="Arial" w:eastAsia="等线" w:cs="Arial"/>
          <w:b/>
          <w:sz w:val="30"/>
        </w:rPr>
        <w:t>、可行性分析</w:t>
      </w:r>
      <w:bookmarkEnd w:id="17"/>
    </w:p>
    <w:p w14:paraId="72C8BCFD">
      <w:pPr>
        <w:numPr>
          <w:ilvl w:val="0"/>
          <w:numId w:val="5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资源可行性：本地博物馆（综合类、历史类）免费向公众开放，交通便利，便于课题组成员开展实地研学活动；博物馆内展品丰富，涵盖建筑、文物、古代工具等多种载体，能满足研究内容的需求；博物馆官网提供丰富的展品资料，可作为文献学习的补充。</w:t>
      </w:r>
    </w:p>
    <w:p w14:paraId="1717B978">
      <w:pPr>
        <w:numPr>
          <w:ilvl w:val="0"/>
          <w:numId w:val="5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知识可行性：研究内容贴合初中数学教材（七年级至九年级），涉及的对称、几何图形、比例、体积计算、统计等知识点，均为初中生已学或正在学习的内容，知识难度适中，符合初中生的认知水平与学习能力。</w:t>
      </w:r>
    </w:p>
    <w:p w14:paraId="37625838">
      <w:pPr>
        <w:numPr>
          <w:ilvl w:val="0"/>
          <w:numId w:val="5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操作可行性：研究使用的工具（卷尺、量角器、直尺、相机、笔记本等）简单易获取，操作难度低，适合初中生使用；研究过程分为准备、研学、整理、分析、撰写、展示六个环节，步骤清晰，分工明确，小组合作可顺利完成；时间安排为8周，贴合初中生的学习节奏，不会影响正常的课堂学习。</w:t>
      </w:r>
    </w:p>
    <w:p w14:paraId="3DC08B47">
      <w:pPr>
        <w:numPr>
          <w:ilvl w:val="0"/>
          <w:numId w:val="5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支持可行性：有指导教师提供专业指导，帮助课题组成员解决研究过程中遇到的数学问题、报告撰写问题；小组成员分工合作，互相支持，能有效提高研究效率，确保研究顺利推进。</w:t>
      </w:r>
    </w:p>
    <w:p w14:paraId="62E5F1C1">
      <w:pPr>
        <w:spacing w:before="300" w:after="120" w:line="288" w:lineRule="auto"/>
        <w:ind w:left="0"/>
        <w:jc w:val="left"/>
        <w:outlineLvl w:val="2"/>
      </w:pPr>
      <w:bookmarkStart w:id="18" w:name="heading_23"/>
      <w:r>
        <w:rPr>
          <w:rFonts w:hint="eastAsia" w:ascii="Arial" w:hAnsi="Arial" w:eastAsia="等线" w:cs="Arial"/>
          <w:b/>
          <w:sz w:val="30"/>
          <w:lang w:val="en-US" w:eastAsia="zh-CN"/>
        </w:rPr>
        <w:t>八</w:t>
      </w:r>
      <w:r>
        <w:rPr>
          <w:rFonts w:ascii="Arial" w:hAnsi="Arial" w:eastAsia="等线" w:cs="Arial"/>
          <w:b/>
          <w:sz w:val="30"/>
        </w:rPr>
        <w:t>、参考文献（开题部分）</w:t>
      </w:r>
      <w:bookmarkEnd w:id="18"/>
    </w:p>
    <w:p w14:paraId="0B2AC502">
      <w:pPr>
        <w:numPr>
          <w:ilvl w:val="0"/>
          <w:numId w:val="5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人民教育出版社. 义务教育教科书·数学（七年级上册至九年级下册）[M]. 北京：人民教育出版社，2022.</w:t>
      </w:r>
    </w:p>
    <w:p w14:paraId="31D0977D">
      <w:pPr>
        <w:numPr>
          <w:ilvl w:val="0"/>
          <w:numId w:val="5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王青建. 数学史简编[M]. 北京：科学出版社，2017.</w:t>
      </w:r>
    </w:p>
    <w:p w14:paraId="3E42AD5F">
      <w:pPr>
        <w:numPr>
          <w:ilvl w:val="0"/>
          <w:numId w:val="5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本地博物馆官网. 博物馆展品介绍、建筑背景资料[EB/OL]. 202X-XX-XX.</w:t>
      </w:r>
    </w:p>
    <w:p w14:paraId="38B2F94A">
      <w:pPr>
        <w:numPr>
          <w:ilvl w:val="0"/>
          <w:numId w:val="5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张奠宙，宋乃庆. 数学文化[M]. 北京：高等教育出版社，2018.</w:t>
      </w:r>
    </w:p>
    <w:p w14:paraId="3468758C">
      <w:pPr>
        <w:numPr>
          <w:ilvl w:val="0"/>
          <w:numId w:val="5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李毓佩. 数学科普读物：数学在身边[M]. 北京：中国少年儿童出版社，2019.</w:t>
      </w:r>
    </w:p>
    <w:p w14:paraId="184BACE1">
      <w:pPr>
        <w:spacing w:before="120" w:after="120" w:line="288" w:lineRule="auto"/>
        <w:ind w:left="0"/>
        <w:jc w:val="left"/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33D597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5357A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3A4B87"/>
    <w:multiLevelType w:val="singleLevel"/>
    <w:tmpl w:val="813A4B87"/>
    <w:lvl w:ilvl="0" w:tentative="0">
      <w:start w:val="6"/>
      <w:numFmt w:val="decimal"/>
      <w:lvlText w:val="%1."/>
      <w:lvlJc w:val="left"/>
      <w:rPr>
        <w:color w:val="3370FF"/>
      </w:rPr>
    </w:lvl>
  </w:abstractNum>
  <w:abstractNum w:abstractNumId="1">
    <w:nsid w:val="845B5372"/>
    <w:multiLevelType w:val="singleLevel"/>
    <w:tmpl w:val="845B5372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">
    <w:nsid w:val="8461FADE"/>
    <w:multiLevelType w:val="singleLevel"/>
    <w:tmpl w:val="8461FADE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3">
    <w:nsid w:val="8CAEB125"/>
    <w:multiLevelType w:val="singleLevel"/>
    <w:tmpl w:val="8CAEB125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4">
    <w:nsid w:val="91995D4F"/>
    <w:multiLevelType w:val="singleLevel"/>
    <w:tmpl w:val="91995D4F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5">
    <w:nsid w:val="9288B902"/>
    <w:multiLevelType w:val="singleLevel"/>
    <w:tmpl w:val="9288B902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6">
    <w:nsid w:val="9ACF65A0"/>
    <w:multiLevelType w:val="singleLevel"/>
    <w:tmpl w:val="9ACF65A0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7">
    <w:nsid w:val="A0F05207"/>
    <w:multiLevelType w:val="singleLevel"/>
    <w:tmpl w:val="A0F05207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8">
    <w:nsid w:val="B0ED9BEA"/>
    <w:multiLevelType w:val="singleLevel"/>
    <w:tmpl w:val="B0ED9BEA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9">
    <w:nsid w:val="B0F1ACD9"/>
    <w:multiLevelType w:val="singleLevel"/>
    <w:tmpl w:val="B0F1ACD9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0">
    <w:nsid w:val="B23A94A9"/>
    <w:multiLevelType w:val="singleLevel"/>
    <w:tmpl w:val="B23A94A9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1">
    <w:nsid w:val="B53F3350"/>
    <w:multiLevelType w:val="singleLevel"/>
    <w:tmpl w:val="B53F3350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12">
    <w:nsid w:val="B88D21A8"/>
    <w:multiLevelType w:val="singleLevel"/>
    <w:tmpl w:val="B88D21A8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3">
    <w:nsid w:val="B8CEF35B"/>
    <w:multiLevelType w:val="singleLevel"/>
    <w:tmpl w:val="B8CEF35B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4">
    <w:nsid w:val="BB64CFA9"/>
    <w:multiLevelType w:val="singleLevel"/>
    <w:tmpl w:val="BB64CFA9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5">
    <w:nsid w:val="BDA1395C"/>
    <w:multiLevelType w:val="singleLevel"/>
    <w:tmpl w:val="BDA1395C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16">
    <w:nsid w:val="BE923771"/>
    <w:multiLevelType w:val="singleLevel"/>
    <w:tmpl w:val="BE923771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7">
    <w:nsid w:val="C0915F4F"/>
    <w:multiLevelType w:val="singleLevel"/>
    <w:tmpl w:val="C0915F4F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8">
    <w:nsid w:val="D7D140E4"/>
    <w:multiLevelType w:val="singleLevel"/>
    <w:tmpl w:val="D7D140E4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9">
    <w:nsid w:val="DAD3A854"/>
    <w:multiLevelType w:val="singleLevel"/>
    <w:tmpl w:val="DAD3A854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0">
    <w:nsid w:val="E093A4B0"/>
    <w:multiLevelType w:val="singleLevel"/>
    <w:tmpl w:val="E093A4B0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21">
    <w:nsid w:val="E7B27C5B"/>
    <w:multiLevelType w:val="singleLevel"/>
    <w:tmpl w:val="E7B27C5B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2">
    <w:nsid w:val="F0E89278"/>
    <w:multiLevelType w:val="singleLevel"/>
    <w:tmpl w:val="F0E89278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3">
    <w:nsid w:val="F689643B"/>
    <w:multiLevelType w:val="singleLevel"/>
    <w:tmpl w:val="F689643B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4">
    <w:nsid w:val="F7735DC9"/>
    <w:multiLevelType w:val="singleLevel"/>
    <w:tmpl w:val="F7735DC9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25">
    <w:nsid w:val="FEC2EA36"/>
    <w:multiLevelType w:val="singleLevel"/>
    <w:tmpl w:val="FEC2EA36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26">
    <w:nsid w:val="03A63A41"/>
    <w:multiLevelType w:val="singleLevel"/>
    <w:tmpl w:val="03A63A41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27">
    <w:nsid w:val="0709FD3E"/>
    <w:multiLevelType w:val="singleLevel"/>
    <w:tmpl w:val="0709FD3E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8">
    <w:nsid w:val="0CEF100B"/>
    <w:multiLevelType w:val="singleLevel"/>
    <w:tmpl w:val="0CEF100B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9">
    <w:nsid w:val="0F9F9CCA"/>
    <w:multiLevelType w:val="singleLevel"/>
    <w:tmpl w:val="0F9F9CCA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30">
    <w:nsid w:val="12EADF99"/>
    <w:multiLevelType w:val="singleLevel"/>
    <w:tmpl w:val="12EADF99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31">
    <w:nsid w:val="1ACDE60F"/>
    <w:multiLevelType w:val="singleLevel"/>
    <w:tmpl w:val="1ACDE60F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32">
    <w:nsid w:val="1C257C7B"/>
    <w:multiLevelType w:val="singleLevel"/>
    <w:tmpl w:val="1C257C7B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33">
    <w:nsid w:val="23E97754"/>
    <w:multiLevelType w:val="singleLevel"/>
    <w:tmpl w:val="23E97754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34">
    <w:nsid w:val="243FCF68"/>
    <w:multiLevelType w:val="singleLevel"/>
    <w:tmpl w:val="243FCF68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35">
    <w:nsid w:val="2F2D79CE"/>
    <w:multiLevelType w:val="singleLevel"/>
    <w:tmpl w:val="2F2D79CE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36">
    <w:nsid w:val="30A0AC00"/>
    <w:multiLevelType w:val="singleLevel"/>
    <w:tmpl w:val="30A0AC00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37">
    <w:nsid w:val="30FC5B15"/>
    <w:multiLevelType w:val="singleLevel"/>
    <w:tmpl w:val="30FC5B15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38">
    <w:nsid w:val="322D85CA"/>
    <w:multiLevelType w:val="singleLevel"/>
    <w:tmpl w:val="322D85CA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39">
    <w:nsid w:val="32A7AF2D"/>
    <w:multiLevelType w:val="singleLevel"/>
    <w:tmpl w:val="32A7AF2D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40">
    <w:nsid w:val="35E83B33"/>
    <w:multiLevelType w:val="singleLevel"/>
    <w:tmpl w:val="35E83B33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41">
    <w:nsid w:val="39A0D9AC"/>
    <w:multiLevelType w:val="singleLevel"/>
    <w:tmpl w:val="39A0D9AC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42">
    <w:nsid w:val="3B8127DF"/>
    <w:multiLevelType w:val="singleLevel"/>
    <w:tmpl w:val="3B8127DF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43">
    <w:nsid w:val="40B249F9"/>
    <w:multiLevelType w:val="singleLevel"/>
    <w:tmpl w:val="40B249F9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44">
    <w:nsid w:val="46A08BB8"/>
    <w:multiLevelType w:val="singleLevel"/>
    <w:tmpl w:val="46A08BB8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45">
    <w:nsid w:val="4C3D7A74"/>
    <w:multiLevelType w:val="singleLevel"/>
    <w:tmpl w:val="4C3D7A74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46">
    <w:nsid w:val="4D94DA66"/>
    <w:multiLevelType w:val="singleLevel"/>
    <w:tmpl w:val="4D94DA66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47">
    <w:nsid w:val="58765686"/>
    <w:multiLevelType w:val="singleLevel"/>
    <w:tmpl w:val="58765686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48">
    <w:nsid w:val="59EEFD2A"/>
    <w:multiLevelType w:val="singleLevel"/>
    <w:tmpl w:val="59EEFD2A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49">
    <w:nsid w:val="5E29AB5A"/>
    <w:multiLevelType w:val="singleLevel"/>
    <w:tmpl w:val="5E29AB5A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50">
    <w:nsid w:val="5FFFB1A7"/>
    <w:multiLevelType w:val="singleLevel"/>
    <w:tmpl w:val="5FFFB1A7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51">
    <w:nsid w:val="629F7852"/>
    <w:multiLevelType w:val="singleLevel"/>
    <w:tmpl w:val="629F7852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52">
    <w:nsid w:val="65CD0074"/>
    <w:multiLevelType w:val="singleLevel"/>
    <w:tmpl w:val="65CD0074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53">
    <w:nsid w:val="74C28B35"/>
    <w:multiLevelType w:val="singleLevel"/>
    <w:tmpl w:val="74C28B35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54">
    <w:nsid w:val="77633216"/>
    <w:multiLevelType w:val="singleLevel"/>
    <w:tmpl w:val="77633216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55">
    <w:nsid w:val="77ECEA79"/>
    <w:multiLevelType w:val="singleLevel"/>
    <w:tmpl w:val="77ECEA79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56">
    <w:nsid w:val="79AA4FA4"/>
    <w:multiLevelType w:val="singleLevel"/>
    <w:tmpl w:val="79AA4FA4"/>
    <w:lvl w:ilvl="0" w:tentative="0">
      <w:start w:val="6"/>
      <w:numFmt w:val="decimal"/>
      <w:lvlText w:val="%1."/>
      <w:lvlJc w:val="left"/>
      <w:rPr>
        <w:color w:val="3370FF"/>
      </w:rPr>
    </w:lvl>
  </w:abstractNum>
  <w:abstractNum w:abstractNumId="57">
    <w:nsid w:val="7C246926"/>
    <w:multiLevelType w:val="singleLevel"/>
    <w:tmpl w:val="7C246926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58">
    <w:nsid w:val="7DEC2089"/>
    <w:multiLevelType w:val="singleLevel"/>
    <w:tmpl w:val="7DEC2089"/>
    <w:lvl w:ilvl="0" w:tentative="0">
      <w:start w:val="5"/>
      <w:numFmt w:val="decimal"/>
      <w:lvlText w:val="%1."/>
      <w:lvlJc w:val="left"/>
      <w:rPr>
        <w:color w:val="3370FF"/>
      </w:rPr>
    </w:lvl>
  </w:abstractNum>
  <w:num w:numId="1">
    <w:abstractNumId w:val="44"/>
  </w:num>
  <w:num w:numId="2">
    <w:abstractNumId w:val="9"/>
  </w:num>
  <w:num w:numId="3">
    <w:abstractNumId w:val="57"/>
  </w:num>
  <w:num w:numId="4">
    <w:abstractNumId w:val="55"/>
  </w:num>
  <w:num w:numId="5">
    <w:abstractNumId w:val="16"/>
  </w:num>
  <w:num w:numId="6">
    <w:abstractNumId w:val="51"/>
  </w:num>
  <w:num w:numId="7">
    <w:abstractNumId w:val="5"/>
  </w:num>
  <w:num w:numId="8">
    <w:abstractNumId w:val="41"/>
  </w:num>
  <w:num w:numId="9">
    <w:abstractNumId w:val="2"/>
  </w:num>
  <w:num w:numId="10">
    <w:abstractNumId w:val="47"/>
  </w:num>
  <w:num w:numId="11">
    <w:abstractNumId w:val="58"/>
  </w:num>
  <w:num w:numId="12">
    <w:abstractNumId w:val="0"/>
  </w:num>
  <w:num w:numId="13">
    <w:abstractNumId w:val="34"/>
  </w:num>
  <w:num w:numId="14">
    <w:abstractNumId w:val="46"/>
  </w:num>
  <w:num w:numId="15">
    <w:abstractNumId w:val="24"/>
  </w:num>
  <w:num w:numId="16">
    <w:abstractNumId w:val="20"/>
  </w:num>
  <w:num w:numId="17">
    <w:abstractNumId w:val="37"/>
  </w:num>
  <w:num w:numId="18">
    <w:abstractNumId w:val="56"/>
  </w:num>
  <w:num w:numId="19">
    <w:abstractNumId w:val="14"/>
  </w:num>
  <w:num w:numId="20">
    <w:abstractNumId w:val="4"/>
  </w:num>
  <w:num w:numId="21">
    <w:abstractNumId w:val="13"/>
  </w:num>
  <w:num w:numId="22">
    <w:abstractNumId w:val="49"/>
  </w:num>
  <w:num w:numId="23">
    <w:abstractNumId w:val="1"/>
  </w:num>
  <w:num w:numId="24">
    <w:abstractNumId w:val="31"/>
  </w:num>
  <w:num w:numId="25">
    <w:abstractNumId w:val="3"/>
  </w:num>
  <w:num w:numId="26">
    <w:abstractNumId w:val="50"/>
  </w:num>
  <w:num w:numId="27">
    <w:abstractNumId w:val="53"/>
  </w:num>
  <w:num w:numId="28">
    <w:abstractNumId w:val="45"/>
  </w:num>
  <w:num w:numId="29">
    <w:abstractNumId w:val="38"/>
  </w:num>
  <w:num w:numId="30">
    <w:abstractNumId w:val="52"/>
  </w:num>
  <w:num w:numId="31">
    <w:abstractNumId w:val="27"/>
  </w:num>
  <w:num w:numId="32">
    <w:abstractNumId w:val="28"/>
  </w:num>
  <w:num w:numId="33">
    <w:abstractNumId w:val="18"/>
  </w:num>
  <w:num w:numId="34">
    <w:abstractNumId w:val="39"/>
  </w:num>
  <w:num w:numId="35">
    <w:abstractNumId w:val="32"/>
  </w:num>
  <w:num w:numId="36">
    <w:abstractNumId w:val="22"/>
  </w:num>
  <w:num w:numId="37">
    <w:abstractNumId w:val="33"/>
  </w:num>
  <w:num w:numId="38">
    <w:abstractNumId w:val="11"/>
  </w:num>
  <w:num w:numId="39">
    <w:abstractNumId w:val="43"/>
  </w:num>
  <w:num w:numId="40">
    <w:abstractNumId w:val="29"/>
  </w:num>
  <w:num w:numId="41">
    <w:abstractNumId w:val="40"/>
  </w:num>
  <w:num w:numId="42">
    <w:abstractNumId w:val="26"/>
  </w:num>
  <w:num w:numId="43">
    <w:abstractNumId w:val="17"/>
  </w:num>
  <w:num w:numId="44">
    <w:abstractNumId w:val="30"/>
  </w:num>
  <w:num w:numId="45">
    <w:abstractNumId w:val="10"/>
  </w:num>
  <w:num w:numId="46">
    <w:abstractNumId w:val="42"/>
  </w:num>
  <w:num w:numId="47">
    <w:abstractNumId w:val="7"/>
  </w:num>
  <w:num w:numId="48">
    <w:abstractNumId w:val="23"/>
  </w:num>
  <w:num w:numId="49">
    <w:abstractNumId w:val="36"/>
  </w:num>
  <w:num w:numId="50">
    <w:abstractNumId w:val="25"/>
  </w:num>
  <w:num w:numId="51">
    <w:abstractNumId w:val="54"/>
  </w:num>
  <w:num w:numId="52">
    <w:abstractNumId w:val="19"/>
  </w:num>
  <w:num w:numId="53">
    <w:abstractNumId w:val="12"/>
  </w:num>
  <w:num w:numId="54">
    <w:abstractNumId w:val="35"/>
  </w:num>
  <w:num w:numId="55">
    <w:abstractNumId w:val="21"/>
  </w:num>
  <w:num w:numId="56">
    <w:abstractNumId w:val="6"/>
  </w:num>
  <w:num w:numId="57">
    <w:abstractNumId w:val="48"/>
  </w:num>
  <w:num w:numId="58">
    <w:abstractNumId w:val="15"/>
  </w:num>
  <w:num w:numId="5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0A067354"/>
    <w:rsid w:val="14B06146"/>
    <w:rsid w:val="20F776A3"/>
    <w:rsid w:val="5EFD75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5986</Words>
  <Characters>6065</Characters>
  <TotalTime>0</TotalTime>
  <ScaleCrop>false</ScaleCrop>
  <LinksUpToDate>false</LinksUpToDate>
  <CharactersWithSpaces>6075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2026-02-27T11:11:00Z</dcterms:created>
  <dc:creator>Apache POI</dc:creator>
  <cp:lastModifiedBy>张秀全</cp:lastModifiedBy>
  <dcterms:modified xsi:type="dcterms:W3CDTF">2026-03-23T00:08:00Z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895EFD8CCE8A4AFA960245EA9AABD9BF_12</vt:lpwstr>
  </property>
  <property fmtid="{D5CDD505-2E9C-101B-9397-08002B2CF9AE}" pid="4" name="KSOTemplateDocerSaveRecord">
    <vt:lpwstr>eyJoZGlkIjoiYWRkMTIzOTViZDYyYzgyODU4NjNkMmMyMjI3MWQ3ZjQiLCJ1c2VySWQiOiIxNjkyNzQyMzkyIn0=</vt:lpwstr>
  </property>
</Properties>
</file>