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5C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Arial" w:hAnsi="Arial" w:eastAsia="等线" w:cs="Arial"/>
          <w:b/>
          <w:sz w:val="52"/>
        </w:rPr>
      </w:pPr>
      <w:r>
        <w:rPr>
          <w:rFonts w:ascii="Arial" w:hAnsi="Arial" w:eastAsia="等线" w:cs="Arial"/>
          <w:b/>
          <w:sz w:val="52"/>
        </w:rPr>
        <w:t>传统文化与古代诗歌的趣味探究</w:t>
      </w:r>
    </w:p>
    <w:p w14:paraId="4D242D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081" w:firstLineChars="400"/>
        <w:textAlignment w:val="auto"/>
        <w:rPr>
          <w:rFonts w:ascii="Arial" w:hAnsi="Arial" w:eastAsia="等线" w:cs="Arial"/>
          <w:b/>
          <w:sz w:val="52"/>
        </w:rPr>
      </w:pPr>
      <w:r>
        <w:rPr>
          <w:rFonts w:ascii="Arial" w:hAnsi="Arial" w:eastAsia="等线" w:cs="Arial"/>
          <w:b/>
          <w:sz w:val="52"/>
        </w:rPr>
        <w:t>——过程性材料</w:t>
      </w:r>
      <w:bookmarkStart w:id="4" w:name="_GoBack"/>
      <w:bookmarkEnd w:id="4"/>
    </w:p>
    <w:p w14:paraId="40711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Arial" w:hAnsi="Arial" w:eastAsia="等线" w:cs="Arial"/>
          <w:b/>
          <w:sz w:val="18"/>
          <w:szCs w:val="18"/>
        </w:rPr>
      </w:pPr>
      <w:r>
        <w:rPr>
          <w:rFonts w:hint="eastAsia" w:ascii="Arial" w:hAnsi="Arial" w:eastAsia="等线" w:cs="Arial"/>
          <w:b/>
          <w:sz w:val="18"/>
          <w:szCs w:val="18"/>
        </w:rPr>
        <w:t>学校：中国矿业大学附属中学</w:t>
      </w:r>
    </w:p>
    <w:p w14:paraId="26F56A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Arial" w:hAnsi="Arial" w:eastAsia="等线" w:cs="Arial"/>
          <w:b/>
          <w:sz w:val="18"/>
          <w:szCs w:val="18"/>
        </w:rPr>
      </w:pPr>
      <w:r>
        <w:rPr>
          <w:rFonts w:hint="eastAsia" w:ascii="Arial" w:hAnsi="Arial" w:eastAsia="等线" w:cs="Arial"/>
          <w:b/>
          <w:sz w:val="18"/>
          <w:szCs w:val="18"/>
        </w:rPr>
        <w:t>研究时间：2025年10月至2026年2月</w:t>
      </w:r>
    </w:p>
    <w:p w14:paraId="42B03D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Arial" w:hAnsi="Arial" w:eastAsia="等线" w:cs="Arial"/>
          <w:b/>
          <w:sz w:val="18"/>
          <w:szCs w:val="18"/>
        </w:rPr>
      </w:pPr>
      <w:r>
        <w:rPr>
          <w:rFonts w:hint="eastAsia" w:ascii="Arial" w:hAnsi="Arial" w:eastAsia="等线" w:cs="Arial"/>
          <w:b/>
          <w:sz w:val="18"/>
          <w:szCs w:val="18"/>
        </w:rPr>
        <w:t>班级：初二（3）班</w:t>
      </w:r>
    </w:p>
    <w:p w14:paraId="157A18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Arial" w:hAnsi="Arial" w:eastAsia="等线" w:cs="Arial"/>
          <w:b/>
          <w:sz w:val="18"/>
          <w:szCs w:val="18"/>
          <w:lang w:val="en-US" w:eastAsia="zh-CN"/>
        </w:rPr>
      </w:pPr>
      <w:r>
        <w:rPr>
          <w:rFonts w:hint="eastAsia" w:ascii="Arial" w:hAnsi="Arial" w:eastAsia="等线" w:cs="Arial"/>
          <w:b/>
          <w:sz w:val="18"/>
          <w:szCs w:val="18"/>
        </w:rPr>
        <w:t>课题组成员：</w:t>
      </w:r>
      <w:r>
        <w:rPr>
          <w:rFonts w:hint="eastAsia" w:ascii="Arial" w:hAnsi="Arial" w:eastAsia="等线" w:cs="Arial"/>
          <w:b/>
          <w:sz w:val="18"/>
          <w:szCs w:val="18"/>
          <w:lang w:val="en-US" w:eastAsia="zh-CN"/>
        </w:rPr>
        <w:t>张怡然</w:t>
      </w:r>
    </w:p>
    <w:p w14:paraId="48B1A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Arial" w:hAnsi="Arial" w:eastAsia="等线" w:cs="Arial"/>
          <w:b/>
          <w:sz w:val="18"/>
          <w:szCs w:val="18"/>
        </w:rPr>
      </w:pPr>
      <w:r>
        <w:rPr>
          <w:rFonts w:hint="eastAsia" w:ascii="Arial" w:hAnsi="Arial" w:eastAsia="等线" w:cs="Arial"/>
          <w:b/>
          <w:sz w:val="18"/>
          <w:szCs w:val="18"/>
        </w:rPr>
        <w:t xml:space="preserve">指导老师：韩书文 </w:t>
      </w:r>
    </w:p>
    <w:p w14:paraId="771332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四、过程性材料</w:t>
      </w:r>
      <w:bookmarkEnd w:id="0"/>
    </w:p>
    <w:p w14:paraId="57D1BA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2"/>
        <w:rPr>
          <w:rFonts w:ascii="Arial" w:hAnsi="Arial" w:eastAsia="等线" w:cs="Arial"/>
          <w:b/>
          <w:sz w:val="30"/>
        </w:rPr>
      </w:pPr>
      <w:bookmarkStart w:id="1" w:name="heading_1"/>
      <w:r>
        <w:rPr>
          <w:rFonts w:ascii="Arial" w:hAnsi="Arial" w:eastAsia="等线" w:cs="Arial"/>
          <w:b/>
          <w:sz w:val="30"/>
        </w:rPr>
        <w:t>1. 观察报告</w:t>
      </w:r>
      <w:bookmarkEnd w:id="1"/>
    </w:p>
    <w:p w14:paraId="591BC3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</w:pPr>
      <w:r>
        <w:rPr>
          <w:rFonts w:ascii="Arial" w:hAnsi="Arial" w:eastAsia="等线" w:cs="Arial"/>
          <w:b/>
          <w:sz w:val="22"/>
        </w:rPr>
        <w:t>观察对象</w:t>
      </w:r>
      <w:r>
        <w:rPr>
          <w:rFonts w:ascii="Arial" w:hAnsi="Arial" w:eastAsia="等线" w:cs="Arial"/>
          <w:sz w:val="22"/>
        </w:rPr>
        <w:t>：传统艺术（书法、绘画、音乐、舞蹈、瓷器）与古代诗词、词曲的对应关联及融合特点</w:t>
      </w:r>
    </w:p>
    <w:p w14:paraId="55D7F5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</w:pPr>
      <w:r>
        <w:rPr>
          <w:rFonts w:ascii="Arial" w:hAnsi="Arial" w:eastAsia="等线" w:cs="Arial"/>
          <w:b/>
          <w:sz w:val="22"/>
        </w:rPr>
        <w:t>观察时间</w:t>
      </w:r>
      <w:r>
        <w:rPr>
          <w:rFonts w:ascii="Arial" w:hAnsi="Arial" w:eastAsia="等线" w:cs="Arial"/>
          <w:sz w:val="22"/>
        </w:rPr>
        <w:t>：2026年2</w:t>
      </w:r>
      <w:r>
        <w:rPr>
          <w:rFonts w:hint="eastAsia" w:ascii="Arial" w:hAnsi="Arial" w:eastAsia="等线" w:cs="Arial"/>
          <w:sz w:val="22"/>
        </w:rPr>
        <w:t>月</w:t>
      </w:r>
    </w:p>
    <w:p w14:paraId="52FA0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/>
        </w:rPr>
      </w:pPr>
      <w:r>
        <w:rPr>
          <w:rFonts w:ascii="Arial" w:hAnsi="Arial" w:eastAsia="等线" w:cs="Arial"/>
          <w:b/>
          <w:sz w:val="22"/>
        </w:rPr>
        <w:t>观察地点</w:t>
      </w:r>
      <w:r>
        <w:rPr>
          <w:rFonts w:ascii="Arial" w:hAnsi="Arial" w:eastAsia="等线" w:cs="Arial"/>
          <w:sz w:val="22"/>
        </w:rPr>
        <w:t>：家中书房、学校图书馆</w:t>
      </w:r>
    </w:p>
    <w:p w14:paraId="245C7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</w:pPr>
      <w:r>
        <w:rPr>
          <w:rFonts w:ascii="Arial" w:hAnsi="Arial" w:eastAsia="等线" w:cs="Arial"/>
          <w:b/>
          <w:sz w:val="22"/>
        </w:rPr>
        <w:t>观察过程</w:t>
      </w:r>
      <w:r>
        <w:rPr>
          <w:rFonts w:ascii="Arial" w:hAnsi="Arial" w:eastAsia="等线" w:cs="Arial"/>
          <w:sz w:val="22"/>
        </w:rPr>
        <w:t>：每日固定时间，先通过图书馆借阅的诗词选集、语文课外读物，搜集与五大传统艺术相关的诗词、词曲；再登录线上文化平台，欣赏书法作品、古典绘画、传统乐器演奏视频、古典舞蹈片段及各类瓷器藏品，对照搜集到的诗词，逐句记录诗词中描写艺术的关键词、意象及表现手法；最后结合诗词创作时代背景，观察不同朝代艺术描写的差异，做好详细观察笔记。</w:t>
      </w:r>
    </w:p>
    <w:p w14:paraId="1908B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</w:pPr>
      <w:r>
        <w:rPr>
          <w:rFonts w:ascii="Arial" w:hAnsi="Arial" w:eastAsia="等线" w:cs="Arial"/>
          <w:b/>
          <w:sz w:val="22"/>
        </w:rPr>
        <w:t>观察结果</w:t>
      </w:r>
      <w:r>
        <w:rPr>
          <w:rFonts w:ascii="Arial" w:hAnsi="Arial" w:eastAsia="等线" w:cs="Arial"/>
          <w:sz w:val="22"/>
        </w:rPr>
        <w:t>：</w:t>
      </w:r>
    </w:p>
    <w:p w14:paraId="527DA48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</w:pPr>
      <w:r>
        <w:rPr>
          <w:rFonts w:ascii="Arial" w:hAnsi="Arial" w:eastAsia="等线" w:cs="Arial"/>
          <w:sz w:val="22"/>
        </w:rPr>
        <w:t>书法、绘画、音乐、舞蹈、瓷器五大传统艺术，在唐诗、宋词、元曲中均有专门描写，诗句语言简洁优美、意境鲜明，能精准展现各类艺术的核心特点。</w:t>
      </w:r>
    </w:p>
    <w:p w14:paraId="7B539FE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</w:pPr>
      <w:r>
        <w:rPr>
          <w:rFonts w:ascii="Arial" w:hAnsi="Arial" w:eastAsia="等线" w:cs="Arial"/>
          <w:sz w:val="22"/>
        </w:rPr>
        <w:t>不同朝代的诗词、词曲，对传统艺术的描写风格不同：唐代诗词大气豪放，多赞美书法的刚劲、绘画的雄浑；宋代诗词婉约细腻，侧重描写音乐的婉转、舞蹈的轻盈；元曲通俗生动，常结合瓷器的质感、用途进行刻画，反映出各朝代的文化氛围与审美追求。</w:t>
      </w:r>
    </w:p>
    <w:p w14:paraId="05AC831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</w:pPr>
      <w:r>
        <w:rPr>
          <w:rFonts w:ascii="Arial" w:hAnsi="Arial" w:eastAsia="等线" w:cs="Arial"/>
          <w:sz w:val="22"/>
        </w:rPr>
        <w:t>古诗词、词曲不仅是对传统艺术的简单赞美，还寄托了作者的个人情感、人生志向，部分作品还隐含了当时的社会风貌。</w:t>
      </w:r>
    </w:p>
    <w:p w14:paraId="090027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</w:pPr>
      <w:r>
        <w:rPr>
          <w:rFonts w:ascii="Arial" w:hAnsi="Arial" w:eastAsia="等线" w:cs="Arial"/>
          <w:b/>
          <w:sz w:val="22"/>
        </w:rPr>
        <w:t>分析与思考</w:t>
      </w:r>
      <w:r>
        <w:rPr>
          <w:rFonts w:ascii="Arial" w:hAnsi="Arial" w:eastAsia="等线" w:cs="Arial"/>
          <w:sz w:val="22"/>
        </w:rPr>
        <w:t>：</w:t>
      </w:r>
    </w:p>
    <w:p w14:paraId="23304B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</w:pPr>
      <w:r>
        <w:rPr>
          <w:rFonts w:ascii="Arial" w:hAnsi="Arial" w:eastAsia="等线" w:cs="Arial"/>
          <w:sz w:val="22"/>
        </w:rPr>
        <w:t>传统艺术是古代文人雅士生活的重要组成部分，而诗词、词曲则是他们表达审美感受、抒发内心情感的主要载体。艺术为诗词提供了丰富的创作灵感，诗词则为艺术赋予了深厚的文化内涵，两者相互依存、互相成就，共同构成了中华优秀传统文化的重要内容。通过本次观察，我深刻理解了“诗中有画，画中有诗”的内涵，也体会到传统文化与古代文学融合的独特魅力，进一步激发了我探究传统文化与古典诗词的兴趣。同时发现，结合时代背景观察诗词与艺术的关联，能更精准地理解作品的深层含义，避免对诗词的片面解读。</w:t>
      </w:r>
    </w:p>
    <w:p w14:paraId="7EEC1E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2"/>
      </w:pPr>
      <w:bookmarkStart w:id="2" w:name="heading_2"/>
      <w:r>
        <w:rPr>
          <w:rFonts w:ascii="Arial" w:hAnsi="Arial" w:eastAsia="等线" w:cs="Arial"/>
          <w:b/>
          <w:sz w:val="30"/>
        </w:rPr>
        <w:t>2. 活动记录表</w:t>
      </w:r>
      <w:bookmarkEnd w:id="2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46"/>
        <w:gridCol w:w="2409"/>
        <w:gridCol w:w="1276"/>
        <w:gridCol w:w="1701"/>
        <w:gridCol w:w="2318"/>
      </w:tblGrid>
      <w:tr w14:paraId="4602530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4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EF8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日期</w:t>
            </w:r>
          </w:p>
        </w:tc>
        <w:tc>
          <w:tcPr>
            <w:tcW w:w="240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2A61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活动内容</w:t>
            </w:r>
          </w:p>
        </w:tc>
        <w:tc>
          <w:tcPr>
            <w:tcW w:w="127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CC2C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完成情况</w:t>
            </w:r>
          </w:p>
        </w:tc>
        <w:tc>
          <w:tcPr>
            <w:tcW w:w="170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D9D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遇到的问题</w:t>
            </w:r>
          </w:p>
        </w:tc>
        <w:tc>
          <w:tcPr>
            <w:tcW w:w="231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107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解决方法</w:t>
            </w:r>
          </w:p>
        </w:tc>
      </w:tr>
      <w:tr w14:paraId="7510C54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4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4CD0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2</w:t>
            </w:r>
            <w:r>
              <w:rPr>
                <w:rFonts w:hint="eastAsia" w:ascii="Arial" w:hAnsi="Arial" w:eastAsia="等线" w:cs="Arial"/>
                <w:sz w:val="22"/>
              </w:rPr>
              <w:t>月9</w:t>
            </w:r>
          </w:p>
        </w:tc>
        <w:tc>
          <w:tcPr>
            <w:tcW w:w="240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016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确定课题题目，明确研究方向，梳理研究重点（五大传统艺术+相关诗词、词曲+时代背景）</w:t>
            </w:r>
          </w:p>
        </w:tc>
        <w:tc>
          <w:tcPr>
            <w:tcW w:w="127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A314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已完成，明确核心研究内容</w:t>
            </w:r>
          </w:p>
        </w:tc>
        <w:tc>
          <w:tcPr>
            <w:tcW w:w="170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CB7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课题题目不够规范，未突出“趣味探究”核心</w:t>
            </w:r>
          </w:p>
        </w:tc>
        <w:tc>
          <w:tcPr>
            <w:tcW w:w="231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4DD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修改课题名称，突出探究重点</w:t>
            </w:r>
          </w:p>
        </w:tc>
      </w:tr>
      <w:tr w14:paraId="6E53AC6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4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E6BB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 w:ascii="Arial" w:hAnsi="Arial" w:eastAsia="等线" w:cs="Arial"/>
                <w:sz w:val="22"/>
              </w:rPr>
              <w:t>2月1</w:t>
            </w:r>
            <w:r>
              <w:rPr>
                <w:rFonts w:ascii="Arial" w:hAnsi="Arial" w:eastAsia="等线" w:cs="Arial"/>
                <w:sz w:val="22"/>
              </w:rPr>
              <w:t>0</w:t>
            </w:r>
          </w:p>
        </w:tc>
        <w:tc>
          <w:tcPr>
            <w:tcW w:w="240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749B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搜集书法、绘画相关的古诗词、词曲，标注作者、朝代及创作背景</w:t>
            </w:r>
          </w:p>
        </w:tc>
        <w:tc>
          <w:tcPr>
            <w:tcW w:w="127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6764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已完成，搜集有效诗词各5首</w:t>
            </w:r>
          </w:p>
        </w:tc>
        <w:tc>
          <w:tcPr>
            <w:tcW w:w="170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0836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相关诗句数量过多，筛选困难，部分诗句难度过高</w:t>
            </w:r>
          </w:p>
        </w:tc>
        <w:tc>
          <w:tcPr>
            <w:tcW w:w="231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7E18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优先选择语文课本中出现、简短易懂的诗句，剔除晦涩难懂、与主题关联度低的内容</w:t>
            </w:r>
          </w:p>
        </w:tc>
      </w:tr>
      <w:tr w14:paraId="7A8261F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4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25C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/>
              </w:rPr>
            </w:pPr>
            <w:r>
              <w:rPr>
                <w:rFonts w:ascii="Arial" w:hAnsi="Arial" w:eastAsia="等线" w:cs="Arial"/>
                <w:sz w:val="22"/>
              </w:rPr>
              <w:t>2</w:t>
            </w:r>
            <w:r>
              <w:rPr>
                <w:rFonts w:hint="eastAsia" w:ascii="Arial" w:hAnsi="Arial" w:eastAsia="等线" w:cs="Arial"/>
                <w:sz w:val="22"/>
              </w:rPr>
              <w:t>月1</w:t>
            </w:r>
            <w:r>
              <w:rPr>
                <w:rFonts w:ascii="Arial" w:hAnsi="Arial" w:eastAsia="等线" w:cs="Arial"/>
                <w:sz w:val="22"/>
              </w:rPr>
              <w:t>0</w:t>
            </w:r>
          </w:p>
        </w:tc>
        <w:tc>
          <w:tcPr>
            <w:tcW w:w="240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B341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搜集音乐、舞蹈、瓷器相关的诗词、词曲，补充背景资料</w:t>
            </w:r>
          </w:p>
        </w:tc>
        <w:tc>
          <w:tcPr>
            <w:tcW w:w="127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D21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已完成，搜集有效诗词各4-5首</w:t>
            </w:r>
          </w:p>
        </w:tc>
        <w:tc>
          <w:tcPr>
            <w:tcW w:w="170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820F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部分诗词的创作背景复杂，难以理解作者的创作意图</w:t>
            </w:r>
          </w:p>
        </w:tc>
        <w:tc>
          <w:tcPr>
            <w:tcW w:w="231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357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查阅诗词注释、课外解读资料，结合朝代特点简单分析</w:t>
            </w:r>
          </w:p>
        </w:tc>
      </w:tr>
      <w:tr w14:paraId="7252740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4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4FD77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/>
              </w:rPr>
            </w:pPr>
            <w:r>
              <w:rPr>
                <w:rFonts w:ascii="Arial" w:hAnsi="Arial" w:eastAsia="等线" w:cs="Arial"/>
                <w:sz w:val="22"/>
              </w:rPr>
              <w:t>2</w:t>
            </w:r>
            <w:r>
              <w:rPr>
                <w:rFonts w:hint="eastAsia" w:ascii="Arial" w:hAnsi="Arial" w:eastAsia="等线" w:cs="Arial"/>
                <w:sz w:val="22"/>
              </w:rPr>
              <w:t>月1</w:t>
            </w:r>
            <w:r>
              <w:rPr>
                <w:rFonts w:ascii="Arial" w:hAnsi="Arial" w:eastAsia="等线" w:cs="Arial"/>
                <w:sz w:val="22"/>
              </w:rPr>
              <w:t>1</w:t>
            </w:r>
          </w:p>
        </w:tc>
        <w:tc>
          <w:tcPr>
            <w:tcW w:w="240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DA2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整理所有搜集到的诗词、资料，按书法、绘画等类别分类归纳</w:t>
            </w:r>
          </w:p>
        </w:tc>
        <w:tc>
          <w:tcPr>
            <w:tcW w:w="127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EE6A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已完成，形成分类清晰的资料合集</w:t>
            </w:r>
          </w:p>
        </w:tc>
        <w:tc>
          <w:tcPr>
            <w:tcW w:w="170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D18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资料杂乱，分类标准不明确，容易混淆</w:t>
            </w:r>
          </w:p>
        </w:tc>
        <w:tc>
          <w:tcPr>
            <w:tcW w:w="231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ABC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制定分类标准，按“艺术类别+朝代”整理，每类资料标注核心关键词，便于后续查阅</w:t>
            </w:r>
          </w:p>
        </w:tc>
      </w:tr>
      <w:tr w14:paraId="12DD884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4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4CBC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hint="eastAsia" w:ascii="Arial" w:hAnsi="Arial" w:eastAsia="等线" w:cs="Arial"/>
                <w:sz w:val="22"/>
              </w:rPr>
              <w:t>2月1</w:t>
            </w:r>
            <w:r>
              <w:rPr>
                <w:rFonts w:ascii="Arial" w:hAnsi="Arial" w:eastAsia="等线" w:cs="Arial"/>
                <w:sz w:val="22"/>
              </w:rPr>
              <w:t>4</w:t>
            </w:r>
          </w:p>
        </w:tc>
        <w:tc>
          <w:tcPr>
            <w:tcW w:w="240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55D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开展观察活动，记录观察内容，撰写观察笔记，梳理观察发现</w:t>
            </w:r>
          </w:p>
        </w:tc>
        <w:tc>
          <w:tcPr>
            <w:tcW w:w="127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8F0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已完成，形成完整观察笔记及初步观察结论</w:t>
            </w:r>
          </w:p>
        </w:tc>
        <w:tc>
          <w:tcPr>
            <w:tcW w:w="170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7C6C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观察时难以精准对应诗词与艺术特点，分析不够深入</w:t>
            </w:r>
          </w:p>
        </w:tc>
        <w:tc>
          <w:tcPr>
            <w:tcW w:w="231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7DC2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先明确每首诗词的核心描写对象，再对照艺术作品的特点逐一分析，标注两者的关联点</w:t>
            </w:r>
          </w:p>
        </w:tc>
      </w:tr>
      <w:tr w14:paraId="5F76404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4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8E40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2</w:t>
            </w:r>
            <w:r>
              <w:rPr>
                <w:rFonts w:hint="eastAsia" w:ascii="Arial" w:hAnsi="Arial" w:eastAsia="等线" w:cs="Arial"/>
                <w:sz w:val="22"/>
              </w:rPr>
              <w:t>月1</w:t>
            </w:r>
            <w:r>
              <w:rPr>
                <w:rFonts w:ascii="Arial" w:hAnsi="Arial" w:eastAsia="等线" w:cs="Arial"/>
                <w:sz w:val="22"/>
              </w:rPr>
              <w:t>5</w:t>
            </w:r>
          </w:p>
        </w:tc>
        <w:tc>
          <w:tcPr>
            <w:tcW w:w="240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98E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整理资料摘抄，完善文献记录，补充诗词赏析内容</w:t>
            </w:r>
          </w:p>
        </w:tc>
        <w:tc>
          <w:tcPr>
            <w:tcW w:w="127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E9A4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已完成，资料摘抄规范、完整</w:t>
            </w:r>
          </w:p>
        </w:tc>
        <w:tc>
          <w:tcPr>
            <w:tcW w:w="170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A3E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部分文献来源不明确，摘抄内容不够精炼</w:t>
            </w:r>
          </w:p>
        </w:tc>
        <w:tc>
          <w:tcPr>
            <w:tcW w:w="231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7776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核对资料来源，标注清晰网址、书名；提炼摘抄内容，保留核心句子及关键解读</w:t>
            </w:r>
          </w:p>
        </w:tc>
      </w:tr>
      <w:tr w14:paraId="4966104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4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3E74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2</w:t>
            </w:r>
            <w:r>
              <w:rPr>
                <w:rFonts w:hint="eastAsia" w:ascii="Arial" w:hAnsi="Arial" w:eastAsia="等线" w:cs="Arial"/>
                <w:sz w:val="22"/>
              </w:rPr>
              <w:t>月1</w:t>
            </w:r>
            <w:r>
              <w:rPr>
                <w:rFonts w:ascii="Arial" w:hAnsi="Arial" w:eastAsia="等线" w:cs="Arial"/>
                <w:sz w:val="22"/>
              </w:rPr>
              <w:t>6</w:t>
            </w:r>
          </w:p>
        </w:tc>
        <w:tc>
          <w:tcPr>
            <w:tcW w:w="240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9B51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梳理活动过程，完善过程性材料，检查是否有遗漏、错误</w:t>
            </w:r>
          </w:p>
        </w:tc>
        <w:tc>
          <w:tcPr>
            <w:tcW w:w="127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3F2A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已完成，材料完整、无明显错误</w:t>
            </w:r>
          </w:p>
        </w:tc>
        <w:tc>
          <w:tcPr>
            <w:tcW w:w="170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37A4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部分活动记录过于简单，缺乏细节</w:t>
            </w:r>
          </w:p>
        </w:tc>
        <w:tc>
          <w:tcPr>
            <w:tcW w:w="231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56F6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补充活动细节，完善“遇到的问题”“解决方法”的具体描述，确保记录真实、完整</w:t>
            </w:r>
          </w:p>
        </w:tc>
      </w:tr>
    </w:tbl>
    <w:p w14:paraId="1D319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2"/>
      </w:pPr>
      <w:bookmarkStart w:id="3" w:name="heading_3"/>
      <w:r>
        <w:rPr>
          <w:rFonts w:ascii="Arial" w:hAnsi="Arial" w:eastAsia="等线" w:cs="Arial"/>
          <w:b/>
          <w:sz w:val="30"/>
        </w:rPr>
        <w:t>3. 资料摘抄 / 文献记录</w:t>
      </w:r>
      <w:bookmarkEnd w:id="3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71"/>
        <w:gridCol w:w="992"/>
        <w:gridCol w:w="5528"/>
        <w:gridCol w:w="789"/>
      </w:tblGrid>
      <w:tr w14:paraId="232816A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55" w:hRule="atLeast"/>
        </w:trPr>
        <w:tc>
          <w:tcPr>
            <w:tcW w:w="97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2746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书名/文章名</w:t>
            </w:r>
          </w:p>
        </w:tc>
        <w:tc>
          <w:tcPr>
            <w:tcW w:w="9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AC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作者</w:t>
            </w:r>
          </w:p>
        </w:tc>
        <w:tc>
          <w:tcPr>
            <w:tcW w:w="552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4F9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摘抄内容</w:t>
            </w:r>
          </w:p>
        </w:tc>
        <w:tc>
          <w:tcPr>
            <w:tcW w:w="78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33F4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来源</w:t>
            </w:r>
          </w:p>
        </w:tc>
      </w:tr>
      <w:tr w14:paraId="10316A7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7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B3F5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《唐诗三百首》</w:t>
            </w:r>
          </w:p>
        </w:tc>
        <w:tc>
          <w:tcPr>
            <w:tcW w:w="9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4B27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蘅塘退士（编选）</w:t>
            </w:r>
          </w:p>
        </w:tc>
        <w:tc>
          <w:tcPr>
            <w:tcW w:w="552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CCB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1. （书法）笔下龙蛇走，胸中锦绣成。（描写书法笔势刚劲、气韵生动，体现书写者的才华与胸襟）；2. （绘画）远看山有色，近听水无声。春去花还在，人来鸟不惊。（王维《画》，描写中国画意境深远、栩栩如生的特点，将静态画面写得富有生机）</w:t>
            </w:r>
          </w:p>
        </w:tc>
        <w:tc>
          <w:tcPr>
            <w:tcW w:w="78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A82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人民文学出版社</w:t>
            </w:r>
          </w:p>
        </w:tc>
      </w:tr>
      <w:tr w14:paraId="4B28DFF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7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719E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《宋词选》</w:t>
            </w:r>
          </w:p>
        </w:tc>
        <w:tc>
          <w:tcPr>
            <w:tcW w:w="9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F533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胡云翼（选注）</w:t>
            </w:r>
          </w:p>
        </w:tc>
        <w:tc>
          <w:tcPr>
            <w:tcW w:w="552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5654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1. （音乐）此曲只应天上有，人间难得几回闻。（杜甫《赠花卿》，赞美音乐美妙绝伦，仿佛来自天界）；2. （舞蹈）舞低杨柳楼心月，歌尽桃花扇底风。（晏几道《鹧鸪天》，描写舞蹈轻盈灵动，舞者与月色、花香相融，意境优美）</w:t>
            </w:r>
          </w:p>
        </w:tc>
        <w:tc>
          <w:tcPr>
            <w:tcW w:w="78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579F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上海古籍出版社</w:t>
            </w:r>
          </w:p>
        </w:tc>
      </w:tr>
      <w:tr w14:paraId="577D3C4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7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5A7F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《元曲选注》</w:t>
            </w:r>
          </w:p>
        </w:tc>
        <w:tc>
          <w:tcPr>
            <w:tcW w:w="9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258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王季思（选注）</w:t>
            </w:r>
          </w:p>
        </w:tc>
        <w:tc>
          <w:tcPr>
            <w:tcW w:w="552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EEE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（瓷器）雨过天青云破处，这般颜色做将来。（描写青瓷的色泽，如同雨后初晴的天空，清新淡雅，是古代对青瓷最美的赞誉）</w:t>
            </w:r>
          </w:p>
        </w:tc>
        <w:tc>
          <w:tcPr>
            <w:tcW w:w="78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2A0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中华书局</w:t>
            </w:r>
          </w:p>
        </w:tc>
      </w:tr>
      <w:tr w14:paraId="08BB391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7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737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《中国传统艺术解读》</w:t>
            </w:r>
          </w:p>
        </w:tc>
        <w:tc>
          <w:tcPr>
            <w:tcW w:w="9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8BCB5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李娟</w:t>
            </w:r>
          </w:p>
        </w:tc>
        <w:tc>
          <w:tcPr>
            <w:tcW w:w="552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B84F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古代诗词与传统艺术有着密不可分的联系，诗词以文字为媒介，捕捉艺术的美感与神韵；艺术以具象的形式，诠释诗词的意境与情感，两者共同承载着古人的审美追求与文化内涵。</w:t>
            </w:r>
          </w:p>
        </w:tc>
        <w:tc>
          <w:tcPr>
            <w:tcW w:w="78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8DDA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北京师范大学出版社</w:t>
            </w:r>
          </w:p>
        </w:tc>
      </w:tr>
      <w:tr w14:paraId="71D55D9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7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4321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《古典诗词与传统艺术的融合》</w:t>
            </w:r>
          </w:p>
        </w:tc>
        <w:tc>
          <w:tcPr>
            <w:tcW w:w="9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4B0C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张敏</w:t>
            </w:r>
          </w:p>
        </w:tc>
        <w:tc>
          <w:tcPr>
            <w:tcW w:w="552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02A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唐代书法艺术兴盛，文人墨客多以诗词赞美书法的刚劲之美，体现了唐代开放、豪迈的文化氛围；宋代绘画注重意境，诗词中对绘画的描写多侧重细腻的情感与深远的意境，与宋代文人的审美追求相契合。</w:t>
            </w:r>
          </w:p>
        </w:tc>
        <w:tc>
          <w:tcPr>
            <w:tcW w:w="78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029A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中国传统文化网</w:t>
            </w:r>
          </w:p>
        </w:tc>
      </w:tr>
      <w:tr w14:paraId="64FEBF2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7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801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《语文课本（初中版）》</w:t>
            </w:r>
          </w:p>
        </w:tc>
        <w:tc>
          <w:tcPr>
            <w:tcW w:w="9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C123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人民教育出版社（编）</w:t>
            </w:r>
          </w:p>
        </w:tc>
        <w:tc>
          <w:tcPr>
            <w:tcW w:w="552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26D8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嘈嘈切切错杂弹，大珠小珠落玉盘。（白居易《琵琶行》，用比喻的手法，描写琵琶声的清脆动听，将音乐的美感具象化，通俗易懂，是描写古代音乐的经典诗句）</w:t>
            </w:r>
          </w:p>
        </w:tc>
        <w:tc>
          <w:tcPr>
            <w:tcW w:w="78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94F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人民教育出版社</w:t>
            </w:r>
          </w:p>
        </w:tc>
      </w:tr>
    </w:tbl>
    <w:p w14:paraId="080014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</w:pPr>
    </w:p>
    <w:sectPr>
      <w:headerReference r:id="rId3" w:type="default"/>
      <w:footerReference r:id="rId4" w:type="default"/>
      <w:pgSz w:w="11905" w:h="16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FA0BF2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56235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5457C5"/>
    <w:multiLevelType w:val="multilevel"/>
    <w:tmpl w:val="035457C5"/>
    <w:lvl w:ilvl="0" w:tentative="0">
      <w:start w:val="1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6B804DBA"/>
    <w:multiLevelType w:val="multilevel"/>
    <w:tmpl w:val="6B804DBA"/>
    <w:lvl w:ilvl="0" w:tentative="0">
      <w:start w:val="3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6DEB2653"/>
    <w:multiLevelType w:val="multilevel"/>
    <w:tmpl w:val="6DEB2653"/>
    <w:lvl w:ilvl="0" w:tentative="0">
      <w:start w:val="2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91707D"/>
    <w:rsid w:val="003C2023"/>
    <w:rsid w:val="0091707D"/>
    <w:rsid w:val="00FB5CCC"/>
    <w:rsid w:val="535F5EF6"/>
    <w:rsid w:val="7566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2159</Words>
  <Characters>2186</Characters>
  <Lines>15</Lines>
  <Paragraphs>4</Paragraphs>
  <TotalTime>6</TotalTime>
  <ScaleCrop>false</ScaleCrop>
  <LinksUpToDate>false</LinksUpToDate>
  <CharactersWithSpaces>2196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2026-03-03T13:00:00Z</dcterms:created>
  <dc:creator>Apache POI</dc:creator>
  <cp:lastModifiedBy>韩书文</cp:lastModifiedBy>
  <dcterms:modified xsi:type="dcterms:W3CDTF">2026-03-10T09:09:11Z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eyJoZGlkIjoiN2RlZDg1NTJkZDM2ZDlkN2YzMjRjNTc2YTY5ZTliNTAiLCJ1c2VySWQiOiI2NjAyNTgwMzAifQ==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2FA7B72C85AE400EB2624FE36AE9281B_12</vt:lpwstr>
  </property>
</Properties>
</file>