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4754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jc w:val="center"/>
        <w:textAlignment w:val="auto"/>
        <w:rPr>
          <w:rFonts w:hint="default" w:ascii="Times New Roman" w:hAnsi="Times New Roman" w:eastAsia="宋体" w:cs="Times New Roman"/>
          <w:b/>
          <w:color w:val="auto"/>
          <w:sz w:val="44"/>
          <w:szCs w:val="44"/>
          <w:lang w:val="en-US" w:eastAsia="zh-CN"/>
        </w:rPr>
      </w:pPr>
      <w:bookmarkStart w:id="0" w:name="_Hlk37088677"/>
      <w:bookmarkEnd w:id="0"/>
      <w:r>
        <w:rPr>
          <w:rFonts w:hint="default" w:ascii="Times New Roman" w:hAnsi="Times New Roman" w:eastAsia="宋体" w:cs="Times New Roman"/>
          <w:b/>
          <w:color w:val="auto"/>
          <w:sz w:val="44"/>
          <w:szCs w:val="44"/>
        </w:rPr>
        <w:t>从</w:t>
      </w:r>
      <w:r>
        <w:rPr>
          <w:rFonts w:hint="default" w:ascii="Times New Roman" w:hAnsi="Times New Roman" w:eastAsia="宋体" w:cs="Times New Roman"/>
          <w:b/>
          <w:color w:val="auto"/>
          <w:sz w:val="44"/>
          <w:szCs w:val="44"/>
          <w:lang w:eastAsia="zh-CN"/>
        </w:rPr>
        <w:t>“</w:t>
      </w:r>
      <w:r>
        <w:rPr>
          <w:rFonts w:hint="default" w:ascii="Times New Roman" w:hAnsi="Times New Roman" w:eastAsia="宋体" w:cs="Times New Roman"/>
          <w:b/>
          <w:color w:val="auto"/>
          <w:sz w:val="44"/>
          <w:szCs w:val="44"/>
        </w:rPr>
        <w:t>手拉手</w:t>
      </w:r>
      <w:r>
        <w:rPr>
          <w:rFonts w:hint="default" w:ascii="Times New Roman" w:hAnsi="Times New Roman" w:eastAsia="宋体" w:cs="Times New Roman"/>
          <w:b/>
          <w:color w:val="auto"/>
          <w:sz w:val="44"/>
          <w:szCs w:val="44"/>
          <w:lang w:eastAsia="zh-CN"/>
        </w:rPr>
        <w:t>”</w:t>
      </w:r>
      <w:r>
        <w:rPr>
          <w:rFonts w:hint="default" w:ascii="Times New Roman" w:hAnsi="Times New Roman" w:eastAsia="宋体" w:cs="Times New Roman"/>
          <w:b/>
          <w:color w:val="auto"/>
          <w:sz w:val="44"/>
          <w:szCs w:val="44"/>
        </w:rPr>
        <w:t>到</w:t>
      </w:r>
      <w:r>
        <w:rPr>
          <w:rFonts w:hint="default" w:ascii="Times New Roman" w:hAnsi="Times New Roman" w:eastAsia="宋体" w:cs="Times New Roman"/>
          <w:b/>
          <w:color w:val="auto"/>
          <w:sz w:val="44"/>
          <w:szCs w:val="44"/>
          <w:lang w:eastAsia="zh-CN"/>
        </w:rPr>
        <w:t>“</w:t>
      </w:r>
      <w:r>
        <w:rPr>
          <w:rFonts w:hint="default" w:ascii="Times New Roman" w:hAnsi="Times New Roman" w:eastAsia="宋体" w:cs="Times New Roman"/>
          <w:b/>
          <w:color w:val="auto"/>
          <w:sz w:val="44"/>
          <w:szCs w:val="44"/>
        </w:rPr>
        <w:t>手牵手</w:t>
      </w:r>
      <w:r>
        <w:rPr>
          <w:rFonts w:hint="default" w:ascii="Times New Roman" w:hAnsi="Times New Roman" w:eastAsia="宋体" w:cs="Times New Roman"/>
          <w:b/>
          <w:color w:val="auto"/>
          <w:sz w:val="44"/>
          <w:szCs w:val="44"/>
          <w:lang w:eastAsia="zh-CN"/>
        </w:rPr>
        <w:t>”</w:t>
      </w:r>
    </w:p>
    <w:p w14:paraId="083308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jc w:val="center"/>
        <w:textAlignment w:val="auto"/>
        <w:rPr>
          <w:rFonts w:hint="default" w:ascii="Times New Roman" w:hAnsi="Times New Roman" w:eastAsia="宋体" w:cs="Times New Roman"/>
          <w:b/>
          <w:color w:val="auto"/>
          <w:sz w:val="44"/>
          <w:szCs w:val="44"/>
        </w:rPr>
      </w:pPr>
      <w:r>
        <w:rPr>
          <w:rFonts w:hint="default" w:ascii="Times New Roman" w:hAnsi="Times New Roman" w:eastAsia="宋体" w:cs="Times New Roman"/>
          <w:b/>
          <w:color w:val="auto"/>
          <w:sz w:val="44"/>
          <w:szCs w:val="44"/>
          <w:lang w:eastAsia="zh-CN"/>
        </w:rPr>
        <w:t>——</w:t>
      </w:r>
      <w:r>
        <w:rPr>
          <w:rFonts w:hint="default" w:ascii="Times New Roman" w:hAnsi="Times New Roman" w:eastAsia="宋体" w:cs="Times New Roman"/>
          <w:b/>
          <w:color w:val="auto"/>
          <w:sz w:val="44"/>
          <w:szCs w:val="44"/>
        </w:rPr>
        <w:t>用一对旋转的全等三角形丈量生活</w:t>
      </w:r>
    </w:p>
    <w:p w14:paraId="2E2000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left="420" w:hanging="420"/>
        <w:jc w:val="center"/>
        <w:textAlignment w:val="auto"/>
        <w:rPr>
          <w:rFonts w:hint="default" w:ascii="Times New Roman" w:hAnsi="Times New Roman" w:eastAsia="宋体" w:cs="Times New Roman"/>
          <w:b/>
          <w:sz w:val="44"/>
          <w:szCs w:val="44"/>
        </w:rPr>
      </w:pPr>
      <w:r>
        <w:rPr>
          <w:rFonts w:hint="default" w:ascii="Times New Roman" w:hAnsi="Times New Roman" w:eastAsia="宋体" w:cs="Times New Roman"/>
          <w:b/>
          <w:sz w:val="44"/>
          <w:szCs w:val="44"/>
        </w:rPr>
        <w:t>结题报告</w:t>
      </w:r>
    </w:p>
    <w:p w14:paraId="746F017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sz w:val="30"/>
          <w:szCs w:val="30"/>
        </w:rPr>
      </w:pPr>
      <w:r>
        <w:rPr>
          <w:rFonts w:hint="default" w:ascii="Times New Roman" w:hAnsi="Times New Roman" w:eastAsia="宋体" w:cs="Times New Roman"/>
          <w:sz w:val="30"/>
          <w:szCs w:val="30"/>
        </w:rPr>
        <w:t>学校：中国矿业大学附属中学</w:t>
      </w:r>
    </w:p>
    <w:p w14:paraId="630A1F9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sz w:val="30"/>
          <w:szCs w:val="30"/>
          <w:lang w:eastAsia="zh-CN"/>
        </w:rPr>
      </w:pPr>
      <w:r>
        <w:rPr>
          <w:rFonts w:hint="default" w:ascii="Times New Roman" w:hAnsi="Times New Roman" w:eastAsia="宋体" w:cs="Times New Roman"/>
          <w:sz w:val="30"/>
          <w:szCs w:val="30"/>
        </w:rPr>
        <w:t>研究时间：202</w:t>
      </w:r>
      <w:r>
        <w:rPr>
          <w:rFonts w:hint="default" w:ascii="Times New Roman" w:hAnsi="Times New Roman" w:eastAsia="宋体" w:cs="Times New Roman"/>
          <w:sz w:val="30"/>
          <w:szCs w:val="30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30"/>
          <w:szCs w:val="30"/>
        </w:rPr>
        <w:t>年</w:t>
      </w:r>
      <w:r>
        <w:rPr>
          <w:rFonts w:hint="default" w:ascii="Times New Roman" w:hAnsi="Times New Roman" w:eastAsia="宋体" w:cs="Times New Roman"/>
          <w:sz w:val="30"/>
          <w:szCs w:val="30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sz w:val="30"/>
          <w:szCs w:val="30"/>
        </w:rPr>
        <w:t>月</w:t>
      </w:r>
      <w:r>
        <w:rPr>
          <w:rFonts w:hint="default" w:ascii="Times New Roman" w:hAnsi="Times New Roman" w:eastAsia="宋体" w:cs="Times New Roman"/>
          <w:sz w:val="30"/>
          <w:szCs w:val="30"/>
          <w:lang w:val="en-US" w:eastAsia="zh-CN"/>
        </w:rPr>
        <w:t xml:space="preserve"> </w:t>
      </w:r>
    </w:p>
    <w:p w14:paraId="29F0FEF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sz w:val="30"/>
          <w:szCs w:val="30"/>
        </w:rPr>
      </w:pPr>
      <w:r>
        <w:rPr>
          <w:rFonts w:hint="default" w:ascii="Times New Roman" w:hAnsi="Times New Roman" w:eastAsia="宋体" w:cs="Times New Roman"/>
          <w:sz w:val="30"/>
          <w:szCs w:val="30"/>
        </w:rPr>
        <w:t>班级：初二（</w:t>
      </w:r>
      <w:r>
        <w:rPr>
          <w:rFonts w:hint="default" w:ascii="Times New Roman" w:hAnsi="Times New Roman" w:eastAsia="宋体" w:cs="Times New Roman"/>
          <w:sz w:val="30"/>
          <w:szCs w:val="30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30"/>
          <w:szCs w:val="30"/>
        </w:rPr>
        <w:t>）班</w:t>
      </w:r>
    </w:p>
    <w:p w14:paraId="5DDC772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sz w:val="30"/>
          <w:szCs w:val="30"/>
          <w:lang w:eastAsia="zh-CN"/>
        </w:rPr>
      </w:pPr>
      <w:r>
        <w:rPr>
          <w:rFonts w:hint="default" w:ascii="Times New Roman" w:hAnsi="Times New Roman" w:eastAsia="宋体" w:cs="Times New Roman"/>
          <w:sz w:val="30"/>
          <w:szCs w:val="30"/>
        </w:rPr>
        <w:t>课题组成员：</w:t>
      </w:r>
      <w:r>
        <w:rPr>
          <w:rFonts w:hint="default" w:ascii="Times New Roman" w:hAnsi="Times New Roman" w:eastAsia="宋体" w:cs="Times New Roman"/>
          <w:sz w:val="30"/>
          <w:szCs w:val="30"/>
          <w:lang w:val="en-US" w:eastAsia="zh-CN"/>
        </w:rPr>
        <w:t xml:space="preserve">王耀卿 </w:t>
      </w:r>
    </w:p>
    <w:p w14:paraId="187899C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sz w:val="30"/>
          <w:szCs w:val="30"/>
        </w:rPr>
      </w:pPr>
      <w:r>
        <w:rPr>
          <w:rFonts w:hint="default" w:ascii="Times New Roman" w:hAnsi="Times New Roman" w:eastAsia="宋体" w:cs="Times New Roman"/>
          <w:sz w:val="30"/>
          <w:szCs w:val="30"/>
        </w:rPr>
        <w:t>指导老师：崔金环</w:t>
      </w:r>
    </w:p>
    <w:p w14:paraId="3EBF37D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b/>
          <w:sz w:val="36"/>
          <w:szCs w:val="36"/>
          <w:lang w:eastAsia="zh-CN"/>
        </w:rPr>
      </w:pPr>
      <w:r>
        <w:rPr>
          <w:rFonts w:hint="default" w:ascii="Times New Roman" w:hAnsi="Times New Roman" w:eastAsia="宋体" w:cs="Times New Roman"/>
          <w:b/>
          <w:sz w:val="36"/>
          <w:szCs w:val="36"/>
        </w:rPr>
        <w:t>一、课题提出背景说明</w:t>
      </w:r>
      <w:r>
        <w:rPr>
          <w:rFonts w:hint="default" w:ascii="Times New Roman" w:hAnsi="Times New Roman" w:eastAsia="宋体" w:cs="Times New Roman"/>
          <w:b/>
          <w:sz w:val="36"/>
          <w:szCs w:val="36"/>
          <w:lang w:val="en-US" w:eastAsia="zh-CN"/>
        </w:rPr>
        <w:t xml:space="preserve"> </w:t>
      </w:r>
    </w:p>
    <w:p w14:paraId="6992205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default" w:ascii="Times New Roman" w:hAnsi="Times New Roman" w:eastAsia="宋体" w:cs="Times New Roman"/>
          <w:color w:val="auto"/>
          <w:sz w:val="28"/>
          <w:szCs w:val="28"/>
        </w:rPr>
      </w:pPr>
      <w:r>
        <w:rPr>
          <w:rFonts w:hint="default" w:ascii="Times New Roman" w:hAnsi="Times New Roman" w:eastAsia="宋体" w:cs="Times New Roman"/>
          <w:color w:val="auto"/>
          <w:sz w:val="28"/>
          <w:szCs w:val="28"/>
        </w:rPr>
        <w:t>那是一节普通的几何课。数学老师执起粉笔，在黑板上轻描淡写——两个等腰三角形，顶点相叠如双子星降临。就在她手腕轻转的瞬间，粉笔弧线划过虚空，两个图形严丝合缝地咬合在一起。那一刻，时间仿佛被几何锁定：原来当两腰相等、顶角共鸣，旋转便不再是简单的位移，而是一场完美的全等皈依。从此以后，任何复杂的角度计算在我眼中，不过是一次优雅的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lang w:eastAsia="zh-CN"/>
        </w:rPr>
        <w:t>“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</w:rPr>
        <w:t>握手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lang w:eastAsia="zh-CN"/>
        </w:rPr>
        <w:t>”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</w:rPr>
        <w:t>。</w:t>
      </w:r>
    </w:p>
    <w:p w14:paraId="5106FB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default" w:ascii="Times New Roman" w:hAnsi="Times New Roman" w:eastAsia="宋体" w:cs="Times New Roman"/>
          <w:color w:val="auto"/>
          <w:sz w:val="28"/>
          <w:szCs w:val="28"/>
        </w:rPr>
      </w:pPr>
      <w:r>
        <w:rPr>
          <w:rFonts w:hint="default" w:ascii="Times New Roman" w:hAnsi="Times New Roman" w:eastAsia="宋体" w:cs="Times New Roman"/>
          <w:color w:val="auto"/>
          <w:sz w:val="28"/>
          <w:szCs w:val="28"/>
        </w:rPr>
        <w:t>我以为这不过是解题的秘钥，值得束之高阁。直到某天晾衣架在阳台上展开金色的臂膀，折叠凳在地板上张开它的几何骨骼，三脚架撑起相机的重量——当我把这些剪影转译到纸面，那些隐藏在铰链与支腿间的等腰三角形骤然显影：每一次开合都是一次旋转，每一个稳定的结构都是一次全等的证明。原来数学从未躲藏，它一直以结构的姿态，托举着我的全部生活。</w:t>
      </w:r>
    </w:p>
    <w:p w14:paraId="149C5CB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b/>
          <w:sz w:val="36"/>
          <w:szCs w:val="36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sz w:val="36"/>
          <w:szCs w:val="36"/>
          <w:lang w:val="en-US" w:eastAsia="zh-CN"/>
        </w:rPr>
        <w:t xml:space="preserve">二、任务分工 </w:t>
      </w:r>
    </w:p>
    <w:p w14:paraId="3551BEE6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sz w:val="28"/>
          <w:szCs w:val="28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1. 实物调研与理论准备</w:t>
      </w:r>
    </w:p>
    <w:p w14:paraId="047CCD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  <w:t>（1）寻找身边的旋转对称结构（晾衣架、折叠家具等）作为研究对象；</w:t>
      </w:r>
    </w:p>
    <w:p w14:paraId="1D7528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  <w:t>（2）查阅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lang w:val="en-US" w:eastAsia="zh-CN"/>
        </w:rPr>
        <w:t>“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  <w:t>手拉手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lang w:val="en-US" w:eastAsia="zh-CN"/>
        </w:rPr>
        <w:t>”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  <w:t>模型、三角形全等判定、结构力学稳定性等资料；</w:t>
      </w:r>
    </w:p>
    <w:p w14:paraId="380DA2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  <w:t>（3）使用测量工具采集几何数据，进行横向对比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lang w:val="en-US" w:eastAsia="zh-CN"/>
        </w:rPr>
        <w:t>与分析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  <w:t>。</w:t>
      </w:r>
    </w:p>
    <w:p w14:paraId="195DF2BA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2. 资料分析与结论生成</w:t>
      </w:r>
    </w:p>
    <w:p w14:paraId="7A28D7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default" w:ascii="Times New Roman" w:hAnsi="Times New Roman" w:eastAsia="宋体" w:cs="Times New Roman"/>
          <w:color w:val="auto"/>
          <w:sz w:val="28"/>
          <w:szCs w:val="28"/>
        </w:rPr>
      </w:pPr>
      <w:r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  <w:t>（1）整理测量数据，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lang w:val="en-US" w:eastAsia="zh-CN"/>
        </w:rPr>
        <w:t>比较并分析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  <w:t>；</w:t>
      </w:r>
    </w:p>
    <w:p w14:paraId="63FD36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default" w:ascii="Times New Roman" w:hAnsi="Times New Roman" w:eastAsia="宋体" w:cs="Times New Roman"/>
          <w:color w:val="auto"/>
          <w:sz w:val="28"/>
          <w:szCs w:val="28"/>
        </w:rPr>
      </w:pPr>
      <w:r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  <w:t>（2）归纳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lang w:val="en-US" w:eastAsia="zh-CN"/>
        </w:rPr>
        <w:t>“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  <w:t>共顶点+等腰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lang w:val="en-US" w:eastAsia="zh-CN"/>
        </w:rPr>
        <w:t>”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  <w:t>特征在不同尺度下的应用规律；</w:t>
      </w:r>
    </w:p>
    <w:p w14:paraId="0C2DA7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default" w:ascii="Times New Roman" w:hAnsi="Times New Roman" w:eastAsia="宋体" w:cs="Times New Roman"/>
          <w:color w:val="auto"/>
          <w:sz w:val="28"/>
          <w:szCs w:val="28"/>
        </w:rPr>
      </w:pPr>
      <w:r>
        <w:rPr>
          <w:rFonts w:hint="default" w:ascii="Times New Roman" w:hAnsi="Times New Roman" w:eastAsia="宋体" w:cs="Times New Roman"/>
          <w:color w:val="auto"/>
          <w:sz w:val="28"/>
          <w:szCs w:val="28"/>
          <w:lang w:val="en-US" w:eastAsia="zh-CN"/>
        </w:rPr>
        <w:t>（3）撰写研究报告，阐述从几何定理到工程实践的映射逻辑。</w:t>
      </w:r>
    </w:p>
    <w:p w14:paraId="6EA1C81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b/>
          <w:sz w:val="36"/>
          <w:szCs w:val="36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sz w:val="36"/>
          <w:szCs w:val="36"/>
          <w:lang w:val="en-US" w:eastAsia="zh-CN"/>
        </w:rPr>
        <w:t xml:space="preserve">三、计划阶段 </w:t>
      </w:r>
    </w:p>
    <w:p w14:paraId="4B1CC2FE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 xml:space="preserve">1. 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第一阶段：前期研究与方案设计（2025年7月5日）</w:t>
      </w:r>
    </w:p>
    <w:p w14:paraId="1D36C7E5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rPr>
          <w:rFonts w:hint="default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选题确立：基于旋转全等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“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手拉手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”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几何模型的现实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应用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研究；</w:t>
      </w:r>
    </w:p>
    <w:p w14:paraId="5A7DC603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rPr>
          <w:rFonts w:hint="default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研究框架构建：设计技术路线，确立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“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理论溯源—实物观测—模型验证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”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的三维研究路径；</w:t>
      </w:r>
    </w:p>
    <w:p w14:paraId="4558277F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rPr>
          <w:rFonts w:hint="default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文献综述：系统梳理三角形全等判定理论、旋转对称几何学及结构力学稳定性相关资源。</w:t>
      </w:r>
    </w:p>
    <w:p w14:paraId="110E0323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 xml:space="preserve">2. 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第二阶段：实践调查与数据采集（2025年7月6日）</w:t>
      </w:r>
    </w:p>
    <w:p w14:paraId="0084EC40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rPr>
          <w:rFonts w:hint="default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实物观测：对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周围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环境中的桌椅支撑结构、书架桁架系统、晾衣架铰接机构进行几何参数初测；</w:t>
      </w:r>
    </w:p>
    <w:p w14:paraId="0784487A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rPr>
          <w:rFonts w:hint="default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理论深化：通过数据检索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与分析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，建立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“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手拉手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”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模型与工程结构稳定性之间的理论关联。</w:t>
      </w:r>
    </w:p>
    <w:p w14:paraId="3AE6882E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 xml:space="preserve">3. 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第三阶段：数据分析与成果凝练（2025年7月7日~10日）</w:t>
      </w:r>
    </w:p>
    <w:p w14:paraId="2658DC92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rPr>
          <w:rFonts w:hint="default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1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原理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数据整理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：对旋转全等几何原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理进行筛选，提取SAS判定、共顶点旋转等核心要素相关的图片和视频；</w:t>
      </w:r>
    </w:p>
    <w:p w14:paraId="5D7E66E0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rPr>
          <w:rFonts w:hint="default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（2）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实际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应用识别：对采集的生活器具结构数据进行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测量与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分析，归纳等腰三角形支撑、菱形铰接等典型几何模式；</w:t>
      </w:r>
    </w:p>
    <w:p w14:paraId="33A89627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rPr>
          <w:rFonts w:hint="default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研究报告撰写：基于实证数据完成《从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“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手拉手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”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到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“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手牵手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”</w:t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t>》结题报告。</w:t>
      </w:r>
    </w:p>
    <w:p w14:paraId="17201D1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b/>
          <w:sz w:val="36"/>
          <w:szCs w:val="36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sz w:val="36"/>
          <w:szCs w:val="36"/>
          <w:lang w:val="en-US" w:eastAsia="zh-CN"/>
        </w:rPr>
        <w:t>四、获得成果</w:t>
      </w:r>
    </w:p>
    <w:p w14:paraId="5FE2807B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1. 特点</w:t>
      </w:r>
    </w:p>
    <w:p w14:paraId="0FA742A2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</w:rPr>
      </w:pP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所谓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手拉手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模型，即一对等腰三角形的顶点耦合：</w:t>
      </w:r>
    </w:p>
    <w:p w14:paraId="76BD3D77">
      <w:pPr>
        <w:keepNext w:val="0"/>
        <w:keepLines w:val="0"/>
        <w:pageBreakBefore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Chars="0" w:right="0" w:rightChars="0" w:firstLine="562" w:firstLineChars="200"/>
        <w:jc w:val="left"/>
        <w:textAlignment w:val="baseline"/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拓扑共点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两三角形顶点重合，如双手交握形成旋转中枢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见图1；</w:t>
      </w:r>
    </w:p>
    <w:p w14:paraId="2705FFE9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right="0" w:rightChars="0"/>
        <w:jc w:val="center"/>
        <w:textAlignment w:val="baseline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3153410" cy="1989455"/>
            <wp:effectExtent l="0" t="0" r="8890" b="10795"/>
            <wp:docPr id="17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53410" cy="1989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647941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 xml:space="preserve">图1 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“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手拉手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”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模型</w:t>
      </w:r>
    </w:p>
    <w:p w14:paraId="05C6F0AF"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562" w:firstLineChars="200"/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等腰耦合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两腰长度对应相等，顶角度数完全一致，构成SAS全等的先天条件；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br w:type="textWrapping"/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 xml:space="preserve">    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（3）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旋转映射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绕共顶点旋转一定角度后，对应边、角发生位置置换，瞬间显现全等关系，原本隐匿的几何关系由此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位移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至可计算、可观测的维度。</w:t>
      </w:r>
    </w:p>
    <w:p w14:paraId="09759AA7">
      <w:pPr>
        <w:keepNext w:val="0"/>
        <w:keepLines w:val="0"/>
        <w:pageBreakBefore w:val="0"/>
        <w:widowControl/>
        <w:numPr>
          <w:ilvl w:val="0"/>
          <w:numId w:val="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作用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ab/>
      </w:r>
    </w:p>
    <w:p w14:paraId="3D3CFDDE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  <w:shd w:val="clear" w:fill="FFFFFF"/>
          <w:vertAlign w:val="baseline"/>
        </w:rPr>
      </w:pP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  <w:shd w:val="clear" w:fill="FFFFFF"/>
          <w:vertAlign w:val="baseline"/>
        </w:rPr>
        <w:t>生活器物的旋转全等结构映射：</w:t>
      </w:r>
    </w:p>
    <w:p w14:paraId="17500642">
      <w:pPr>
        <w:keepNext w:val="0"/>
        <w:keepLines w:val="0"/>
        <w:pageBreakBefore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晾衣架的菱形伸缩机构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（见图2）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 xml:space="preserve"> 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左右两组撑杆构成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共顶点的两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组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边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。铰接点作为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旋转中心（共顶点）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，通过改变顶角大小实现高度调节：展开时，两组全等三角形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顶角增大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，底边（悬挂杆）保持水平且抬升；收合时，顶角趋近于0°，结构扁平化。</w:t>
      </w:r>
    </w:p>
    <w:p w14:paraId="413F2A8A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right="0" w:rightChars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几何价值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：利用全等三角形的等腰约束，实现空间压缩与功能稳定的统一。</w:t>
      </w:r>
    </w:p>
    <w:p w14:paraId="1C8AD95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center"/>
        <w:rPr>
          <w:rFonts w:hint="default" w:ascii="Times New Roman" w:hAnsi="Times New Roman" w:eastAsia="宋体" w:cs="Times New Roman"/>
          <w:sz w:val="30"/>
          <w:szCs w:val="30"/>
          <w:lang w:eastAsia="zh-CN"/>
        </w:rPr>
      </w:pPr>
      <w:r>
        <w:rPr>
          <w:rFonts w:hint="default" w:ascii="Times New Roman" w:hAnsi="Times New Roman" w:eastAsia="宋体" w:cs="Times New Roman"/>
        </w:rPr>
        <w:drawing>
          <wp:inline distT="0" distB="0" distL="114300" distR="114300">
            <wp:extent cx="4027805" cy="3833495"/>
            <wp:effectExtent l="0" t="0" r="10795" b="14605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27805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D347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图3 晾衣架</w:t>
      </w:r>
    </w:p>
    <w:p w14:paraId="151A74B7">
      <w:pPr>
        <w:keepNext w:val="0"/>
        <w:keepLines w:val="0"/>
        <w:pageBreakBefore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leftChars="0" w:right="0" w:firstLine="562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折叠凳的空间桁架系统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（见图3）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 xml:space="preserve"> 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凳腿交错形成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多组共顶点的等腰三角形网格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。当凳面受力时，荷载通过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铰接节点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传递至各等腰三角形的腰，由于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多组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手拉手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模型并联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，形成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超静定结构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</w:t>
      </w:r>
    </w:p>
    <w:p w14:paraId="096D26E6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right="0" w:rightChars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sz w:val="28"/>
          <w:szCs w:val="28"/>
        </w:rPr>
      </w:pP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几何价值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：旋转全等的对称性使集中载荷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均匀分散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至多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条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凳腿，避免单点应力集中；收合时绕共顶点反向旋转，实现体积压缩比最大化。</w:t>
      </w:r>
    </w:p>
    <w:p w14:paraId="7F276F7D">
      <w:pPr>
        <w:keepNext w:val="0"/>
        <w:keepLines w:val="0"/>
        <w:pageBreakBefore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leftChars="0" w:right="0" w:firstLine="562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相机三脚架的共点力系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（见图4）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 xml:space="preserve"> 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三支脚与中心立柱构成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三维空间中的共顶点等腰三角形组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。每两支脚与中心线形成平面等腰三角形，三组共享顶点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（等角分布）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</w:t>
      </w:r>
    </w:p>
    <w:p w14:paraId="29B09A5F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right="0" w:rightChars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</w:rPr>
      </w:pP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几何价值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：根据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共点力系平衡原理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，相机重力沿等腰三角形的腰分解为三组对称分力，合力为零矩状态，确保倾覆力矩最小化；收拢时三脚架绕中心轴旋转聚拢，体现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旋转全等结构的紧凑性优势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</w:t>
      </w:r>
    </w:p>
    <w:p w14:paraId="49C4B4D6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30"/>
          <w:szCs w:val="30"/>
          <w:lang w:val="en-US" w:eastAsia="zh-CN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1270635</wp:posOffset>
                </wp:positionH>
                <wp:positionV relativeFrom="paragraph">
                  <wp:posOffset>2414905</wp:posOffset>
                </wp:positionV>
                <wp:extent cx="295275" cy="390525"/>
                <wp:effectExtent l="5080" t="3810" r="23495" b="5715"/>
                <wp:wrapNone/>
                <wp:docPr id="8" name="直接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5275" cy="39052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00.05pt;margin-top:190.15pt;height:30.75pt;width:23.25pt;z-index:251662336;mso-width-relative:page;mso-height-relative:page;" filled="f" stroked="t" coordsize="21600,21600" o:gfxdata="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IcsekbYAAAACwEAAA8AAAAAAAAAAQAgAAAAIgAAAGRycy9kb3ducmV2LnhtbFBLAQIU&#10;ABQAAAAIAIdO4kDhc5sv8wEAAMADAAAOAAAAAAAAAAEAIAAAACcBAABkcnMvZTJvRG9jLnhtbFBL&#10;BQYAAAAABgAGAFkBAACMBQAAAAA=&#10;">
                <v:fill on="f" focussize="0,0"/>
                <v:stroke weight="1pt" color="#FF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1261110</wp:posOffset>
                </wp:positionH>
                <wp:positionV relativeFrom="paragraph">
                  <wp:posOffset>2072005</wp:posOffset>
                </wp:positionV>
                <wp:extent cx="342900" cy="361950"/>
                <wp:effectExtent l="4445" t="4445" r="14605" b="14605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575560" y="5718175"/>
                          <a:ext cx="342900" cy="36195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9.3pt;margin-top:163.15pt;height:28.5pt;width:27pt;z-index:251659264;mso-width-relative:page;mso-height-relative:page;" filled="f" stroked="t" coordsize="21600,21600" o:gfxdata="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OkMkYPaAAAACwEAAA8AAAAAAAAAAQAgAAAAIgAAAGRycy9kb3ducmV2&#10;LnhtbFBLAQIUABQAAAAIAIdO4kB+y++7+gEAAMIDAAAOAAAAAAAAAAEAIAAAACkBAABkcnMvZTJv&#10;RG9jLnhtbFBLBQYAAAAABgAGAFkBAACVBQAAAAA=&#10;">
                <v:fill on="f" focussize="0,0"/>
                <v:stroke weight="1pt" color="#FF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1775460</wp:posOffset>
                </wp:positionH>
                <wp:positionV relativeFrom="paragraph">
                  <wp:posOffset>2014855</wp:posOffset>
                </wp:positionV>
                <wp:extent cx="295275" cy="390525"/>
                <wp:effectExtent l="5080" t="3810" r="23495" b="5715"/>
                <wp:wrapNone/>
                <wp:docPr id="7" name="直接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5275" cy="39052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39.8pt;margin-top:158.65pt;height:30.75pt;width:23.25pt;z-index:251661312;mso-width-relative:page;mso-height-relative:page;" filled="f" stroked="t" coordsize="21600,21600" o:gfxdata="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D5Ps4toAAAALAQAADwAAAAAAAAABACAAAAAiAAAAZHJzL2Rvd25yZXYueG1sUEsB&#10;AhQAFAAAAAgAh07iQDwwfuTzAQAAwAMAAA4AAAAAAAAAAQAgAAAAKQEAAGRycy9lMm9Eb2MueG1s&#10;UEsFBgAAAAAGAAYAWQEAAI4FAAAAAA==&#10;">
                <v:fill on="f" focussize="0,0"/>
                <v:stroke weight="1pt" color="#FF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1784985</wp:posOffset>
                </wp:positionH>
                <wp:positionV relativeFrom="paragraph">
                  <wp:posOffset>2414905</wp:posOffset>
                </wp:positionV>
                <wp:extent cx="342900" cy="361950"/>
                <wp:effectExtent l="4445" t="4445" r="14605" b="14605"/>
                <wp:wrapNone/>
                <wp:docPr id="5" name="直接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36195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40.55pt;margin-top:190.15pt;height:28.5pt;width:27pt;z-index:251660288;mso-width-relative:page;mso-height-relative:page;" filled="f" stroked="t" coordsize="21600,21600" o:gfxdata="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okns39sAAAALAQAADwAAAAAAAAABACAAAAAiAAAAZHJzL2Rvd25yZXYueG1sUEsBAhQAFAAA&#10;AAgAh07iQC6FGSzsAQAAtgMAAA4AAAAAAAAAAQAgAAAAKgEAAGRycy9lMm9Eb2MueG1sUEsFBgAA&#10;AAAGAAYAWQEAAIgFAAAAAA==&#10;">
                <v:fill on="f" focussize="0,0"/>
                <v:stroke weight="1pt" color="#FF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default" w:ascii="Times New Roman" w:hAnsi="Times New Roman" w:eastAsia="宋体" w:cs="Times New Roman"/>
          <w:sz w:val="30"/>
        </w:rPr>
        <w:drawing>
          <wp:inline distT="0" distB="0" distL="114300" distR="114300">
            <wp:extent cx="2459990" cy="3322955"/>
            <wp:effectExtent l="0" t="0" r="16510" b="10795"/>
            <wp:docPr id="29" name="图片 29" descr="1757247411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75724741129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sz w:val="30"/>
          <w:szCs w:val="30"/>
          <w:lang w:val="en-US" w:eastAsia="zh-CN"/>
        </w:rPr>
        <w:t xml:space="preserve">   </w:t>
      </w:r>
      <w:r>
        <w:rPr>
          <w:rFonts w:hint="default" w:ascii="Times New Roman" w:hAnsi="Times New Roman" w:eastAsia="宋体" w:cs="Times New Roman"/>
          <w:sz w:val="30"/>
          <w:szCs w:val="30"/>
          <w:lang w:val="en-US" w:eastAsia="zh-CN"/>
        </w:rPr>
        <w:drawing>
          <wp:inline distT="0" distB="0" distL="114300" distR="114300">
            <wp:extent cx="2479675" cy="3387725"/>
            <wp:effectExtent l="0" t="0" r="15875" b="3175"/>
            <wp:docPr id="30" name="图片 30" descr="1757247481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7572474816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79675" cy="338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sz w:val="30"/>
          <w:szCs w:val="30"/>
          <w:lang w:val="en-US" w:eastAsia="zh-CN"/>
        </w:rPr>
        <w:t xml:space="preserve">  </w:t>
      </w:r>
    </w:p>
    <w:p w14:paraId="2E72C09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 xml:space="preserve">图4 折叠椅          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 xml:space="preserve">      </w:t>
      </w:r>
      <w:bookmarkStart w:id="2" w:name="_GoBack"/>
      <w:bookmarkEnd w:id="2"/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图5 三脚架</w:t>
      </w:r>
    </w:p>
    <w:p w14:paraId="5E36522D">
      <w:pPr>
        <w:keepNext w:val="0"/>
        <w:keepLines w:val="0"/>
        <w:pageBreakBefore w:val="0"/>
        <w:widowControl/>
        <w:numPr>
          <w:ilvl w:val="0"/>
          <w:numId w:val="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意义</w:t>
      </w:r>
    </w:p>
    <w:p w14:paraId="0F54AA3F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</w:rPr>
      </w:pP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如果说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手拉手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模型是一把钥匙，它打开的不仅是几何习题，更是现实世界的结构密码。</w:t>
      </w:r>
    </w:p>
    <w:p w14:paraId="06A3160D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</w:rPr>
      </w:pP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只要捕捉到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共顶点、双等腰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的结构特征——无论是晾衣架的铰接点，还是大厦的桁架节点——就能触发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旋转全等变换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，将零散的空间要素转化为确定的几何关系，实现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从定性描述到定量解析的跨越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</w:t>
      </w:r>
    </w:p>
    <w:p w14:paraId="55ED3B3F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</w:rPr>
      </w:pP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那些曾被视作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解题技巧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的小小三角形，实则是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工程结构的微缩基因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：在高层建筑中，它们化作承重节点优化荷载路径；在跨海大桥中，变身减震铰链消散风振能量；在卫星天线上，构成旋转阵列校准信号方向；在精密测量中，建立闭合基准网控制误差累积。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从课桌到塔吊，从纸面到大地，旋转全等的几何逻辑是结构稳定的几何本质之一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</w:t>
      </w:r>
    </w:p>
    <w:p w14:paraId="27FF6C36">
      <w:pPr>
        <w:keepNext w:val="0"/>
        <w:keepLines w:val="0"/>
        <w:pageBreakBefore w:val="0"/>
        <w:widowControl/>
        <w:numPr>
          <w:ilvl w:val="0"/>
          <w:numId w:val="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发展</w:t>
      </w:r>
    </w:p>
    <w:p w14:paraId="001AFC2A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在摩天楼与跨海桥的维度里，</w:t>
      </w: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手拉手</w:t>
      </w: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模型进化为抵抗风振与地震激励的结构基因。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工程师将旋转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全等的三角形模块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拓扑嵌入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外框筒或缆索体系：当共顶点的等腰（或等边）三角在钢节点处咬合，便形成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空间桁架的刚性锁定机制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。此时，水平风荷载或地震惯性力不再是solitary的剪切破坏，而是通过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共顶点旋转耦合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，被瞬间拆解为杆件的轴向拉力与压力，沿等腰三角形的腰向基础传递——这正是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弯矩重分布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的几何本质。结构因此获得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模态分散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能力：质量更轻，阻尼更优，却能以柔克刚。</w:t>
      </w:r>
    </w:p>
    <w:p w14:paraId="6AEE8D24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sz w:val="28"/>
          <w:szCs w:val="28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从图纸到天际线的转译，发生在每一个结构节点。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 xml:space="preserve"> 上海中心大厦（图6）的外框筒正是这一原理的宏大概括：双层幕墙间螺旋上升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的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三角形网格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，实则是无数个共顶点等腰三角的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三维阵列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</w:t>
      </w:r>
    </w:p>
    <w:p w14:paraId="7056BCE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drawing>
          <wp:inline distT="0" distB="0" distL="114300" distR="114300">
            <wp:extent cx="5269230" cy="3495040"/>
            <wp:effectExtent l="0" t="0" r="7620" b="10160"/>
            <wp:docPr id="33" name="图片 33" descr="1757247716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7572477164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49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834D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图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 xml:space="preserve"> 上海中心大厦外围结构</w:t>
      </w:r>
    </w:p>
    <w:p w14:paraId="099B443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2386330" cy="3183890"/>
            <wp:effectExtent l="0" t="0" r="13970" b="16510"/>
            <wp:docPr id="6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86330" cy="3183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drawing>
          <wp:inline distT="0" distB="0" distL="114300" distR="114300">
            <wp:extent cx="2406650" cy="3209290"/>
            <wp:effectExtent l="0" t="0" r="12700" b="10160"/>
            <wp:docPr id="11" name="图片 11" descr="a8a1c261d9a6b94ed62ae9efdd21396e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a8a1c261d9a6b94ed62ae9efdd21396e_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06650" cy="320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7D33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图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 xml:space="preserve"> 上海中心大厦</w:t>
      </w:r>
    </w:p>
    <w:p w14:paraId="62D8AD3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/>
        <w:jc w:val="left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当狂风试图撕扯玻璃幕墙，这些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手拉手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的几何单元立即构成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连续的表面支撑体系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——荷载沿等腰边向四个角点分散，外框筒的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剪力滞后效应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被显著削弱，万丈高楼由此在城市风场中保持优雅的静止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见图7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省却冗余钢材，却获得几何刚度的红利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：这不是魔术，而是旋转全等原理在超高层结构中的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第一性应用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——用最少的杆件，编织最稳的约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束。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这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让曾经参观的我叹为观止的，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见图7，站在楼下与身处其中时，</w:t>
      </w: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小小的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我看到的不再是冰冷的玻璃与钢铁，而是无数个</w:t>
      </w: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手拉手</w:t>
      </w: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模型在城市天际线上跳动的、关于稳定与效率的数学之舞。</w:t>
      </w:r>
    </w:p>
    <w:p w14:paraId="72272631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sz w:val="28"/>
          <w:szCs w:val="28"/>
        </w:rPr>
      </w:pP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作为连接粤港澳三地的超级工程，青州、江海直达与九洲三座航道桥均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采用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扇形密索体系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——从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桥塔apex（顶点）向两侧呈空间辐射状展开的高强度平行钢丝束，实为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以塔顶为共顶点、以水平桥面为公共底边的一组巨型等腰三角形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每对对称布置的斜拉索构成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共顶点的等腰索单元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，见图8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：桥塔顶部是几何旋转中心，两侧拉索为等长的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腰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，桥面区段为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底边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，在风力与车流荷载作用下，这些三角形单元通过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全等变形协调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实现力的瞬时重分配。</w:t>
      </w:r>
    </w:p>
    <w:p w14:paraId="650AAEA9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当万吨桥面承受台风激振或重载冲击，荷载并非由单根拉索独自承担，而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是通过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共顶点旋转全等机制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，沿等腰三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角形的腰向桥塔汇聚，再垂直传递至基础。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多组</w:t>
      </w: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手拉手</w:t>
      </w: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索单元沿塔高连续排列</w:t>
      </w:r>
      <w:r>
        <w:rPr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，形成空间面内的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超静定约束网络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：一侧索力增大时，对称侧立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即产生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几何刚度耦合响应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，抑制面外扭转振动。这种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一塔多索、索索全等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的结构布局，不仅以轻质高强的几何形态跨越宽阔航道，更以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旋转对称的模态特性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消减了海洋风环境的涡激共振风险，让这座世纪工程在百年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一遇的极端海况中，仍保持几何不变体的冷静与平衡。</w:t>
      </w:r>
    </w:p>
    <w:p w14:paraId="51F1C0D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4897120" cy="3088005"/>
            <wp:effectExtent l="0" t="0" r="17780" b="17145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97120" cy="3088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373E2F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4931410" cy="2771775"/>
            <wp:effectExtent l="0" t="0" r="2540" b="9525"/>
            <wp:docPr id="1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3141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CDE1FD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图8 港珠澳大桥</w:t>
      </w:r>
    </w:p>
    <w:p w14:paraId="753DF5B1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当我登上港珠澳大桥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，在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海风中仰望那三座巍峨的桥塔，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见图9，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曾被我当作背景板的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扇形拉索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，此刻显影为巨型几何装置——每一根斜拉索都是从塔顶辐射而下，与桥面共同围合成无数个共顶点的全等三角形。当台风试图拧转桥面，正是这些等腰三角形的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手手相扣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，将万吨力流瞬间拆解为三股对称的轴向拉力，让柔长的桥身在怒涛之上保持几何不变。</w:t>
      </w:r>
    </w:p>
    <w:p w14:paraId="7D960F8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drawing>
          <wp:inline distT="0" distB="0" distL="114300" distR="114300">
            <wp:extent cx="2566035" cy="3516630"/>
            <wp:effectExtent l="0" t="0" r="5715" b="7620"/>
            <wp:docPr id="14" name="图片 14" descr="644b06de4915b42f3e744485c74d0bab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644b06de4915b42f3e744485c74d0bab_"/>
                    <pic:cNvPicPr>
                      <a:picLocks noChangeAspect="1"/>
                    </pic:cNvPicPr>
                  </pic:nvPicPr>
                  <pic:blipFill>
                    <a:blip r:embed="rId14"/>
                    <a:srcRect r="2665"/>
                    <a:stretch>
                      <a:fillRect/>
                    </a:stretch>
                  </pic:blipFill>
                  <pic:spPr>
                    <a:xfrm>
                      <a:off x="0" y="0"/>
                      <a:ext cx="2566035" cy="351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F06D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图9 参观港珠澳大桥</w:t>
      </w:r>
    </w:p>
    <w:p w14:paraId="1D4E8243">
      <w:pPr>
        <w:keepNext w:val="0"/>
        <w:keepLines w:val="0"/>
        <w:pageBreakBefore w:val="0"/>
        <w:widowControl/>
        <w:numPr>
          <w:ilvl w:val="0"/>
          <w:numId w:val="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总结与启示</w:t>
      </w:r>
    </w:p>
    <w:p w14:paraId="183F9E40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sz w:val="28"/>
          <w:szCs w:val="28"/>
        </w:rPr>
      </w:pPr>
      <w:r>
        <w:rPr>
          <w:rFonts w:hint="default" w:ascii="Times New Roman" w:hAnsi="Times New Roman" w:eastAsia="宋体" w:cs="Times New Roman"/>
          <w:sz w:val="28"/>
          <w:szCs w:val="28"/>
        </w:rPr>
        <w:t>本课题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始于</w:t>
      </w: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SAS判定下的共顶点旋转全等</w:t>
      </w:r>
      <w:r>
        <w:rPr>
          <w:rStyle w:val="8"/>
          <w:rFonts w:hint="eastAsia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这一基础几何命题。通过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实践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测量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，对居室环境中的折叠凳腿架（X型铰接机构）、晾衣架斜撑（菱形伸缩机构）、相机三脚架（共点力系）进行了几何参数采集，证实旋转全等结构普遍存在于日用品的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收放机构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与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承载节点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中。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进一步文献调研显示，该模型在超高层桁架节点（如上海中心大厦外框筒）、大跨斜拉桥索塔体系（如港珠澳大桥）、工程测量基准网乃至工业机器人关节设计中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均呈现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跨尺度同构性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</w:t>
      </w:r>
    </w:p>
    <w:p w14:paraId="6F5A684C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核心发现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“共顶点+双等腰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作为最小几何特征单元，通过旋转全等变换实现了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荷载空间分散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（力学稳定性）与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结构体积压缩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（运动灵活性）的双重功能。这表明，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旋转对称性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不仅是数学抽象，更是工程结构设计的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第一性原理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——从厘米级铰接至千米级建筑，同一几何逻辑支撑起不同尺度的结构稳定性。</w:t>
      </w:r>
    </w:p>
    <w:p w14:paraId="03BF9026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2" w:firstLineChars="200"/>
        <w:jc w:val="left"/>
        <w:textAlignment w:val="baseline"/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sz w:val="28"/>
          <w:szCs w:val="28"/>
        </w:rPr>
      </w:pPr>
      <w:r>
        <w:rPr>
          <w:rStyle w:val="8"/>
          <w:rFonts w:hint="default" w:ascii="Times New Roman" w:hAnsi="Times New Roman" w:eastAsia="宋体" w:cs="Times New Roman"/>
          <w:b/>
          <w:bCs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方法论启示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：数学建模的本质在于识别现实系统中的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不变量与变换群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。通过提炼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手拉手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这类最小几何特征，可将复杂三维结构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降维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为可计算的全等问题，实现从定性观察到定量解析的认知跃迁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。</w:t>
      </w:r>
    </w:p>
    <w:p w14:paraId="00FED52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b/>
          <w:sz w:val="36"/>
          <w:szCs w:val="36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sz w:val="36"/>
          <w:szCs w:val="36"/>
          <w:lang w:val="en-US" w:eastAsia="zh-CN"/>
        </w:rPr>
        <w:t>五、活动感受</w:t>
      </w:r>
    </w:p>
    <w:p w14:paraId="780D0D8C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</w:rPr>
      </w:pP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此次研究让我深刻体会到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对称与变换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在几何与现实中的统一性力量。最初在折叠凳腿架中偶然发现的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X</w:t>
      </w:r>
      <w:r>
        <w:rPr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结构，最终竟与港珠澳大桥的千米级索塔体系共享同一几何基因——这种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跨尺度同构性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令人震撼。</w:t>
      </w:r>
    </w:p>
    <w:p w14:paraId="40E3B150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</w:rPr>
      </w:pP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最深刻的认知转变在于：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全等不再是纸面上的符号证明，而是可观测的结构行为。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 xml:space="preserve"> 当在晾衣架铰接点处实测到顶角变化与底边升降的对应关系时，抽象的SAS判定突然获得了物理实在性。这种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从定理到实体的映射能力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，正是数学思维的核心价值。</w:t>
      </w:r>
    </w:p>
    <w:p w14:paraId="7B1AF908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  <w:shd w:val="clear" w:fill="FFFFFF"/>
        </w:rPr>
      </w:pP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未来，我将延续这种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“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特征提取—模型映射—跨域验证</w:t>
      </w:r>
      <w:r>
        <w:rPr>
          <w:rStyle w:val="8"/>
          <w:rFonts w:hint="eastAsia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”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kern w:val="0"/>
          <w:sz w:val="28"/>
          <w:szCs w:val="28"/>
          <w:shd w:val="clear" w:fill="FFFFFF"/>
          <w:vertAlign w:val="baseline"/>
          <w:lang w:val="en-US" w:eastAsia="zh-CN" w:bidi="ar"/>
        </w:rPr>
        <w:t>的研究范式：在面对复杂几何问题时，主动寻找共顶点旋转结构；在观察工程建筑时，敏感识别等腰三角形的拓扑存在。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  <w:shd w:val="clear" w:fill="FFFFFF"/>
        </w:rPr>
        <w:t>让数学不仅成为解题工具，更成为理解世界结构秩序的</w:t>
      </w:r>
      <w:r>
        <w:rPr>
          <w:rStyle w:val="8"/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  <w:shd w:val="clear" w:fill="FFFFFF"/>
          <w:vertAlign w:val="baseline"/>
        </w:rPr>
        <w:t>底层逻辑</w:t>
      </w:r>
      <w:r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  <w:shd w:val="clear" w:fill="FFFFFF"/>
        </w:rPr>
        <w:t>。</w:t>
      </w:r>
    </w:p>
    <w:p w14:paraId="3B7D80EC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  <w:shd w:val="clear" w:fill="FFFFFF"/>
        </w:rPr>
      </w:pPr>
    </w:p>
    <w:p w14:paraId="504021C2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  <w:shd w:val="clear" w:fill="FFFFFF"/>
        </w:rPr>
      </w:pPr>
    </w:p>
    <w:p w14:paraId="0BB23125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Autospacing="0" w:line="360" w:lineRule="auto"/>
        <w:ind w:left="0" w:right="0" w:firstLine="560" w:firstLineChars="200"/>
        <w:jc w:val="left"/>
        <w:textAlignment w:val="baseline"/>
        <w:rPr>
          <w:rFonts w:hint="default" w:ascii="Times New Roman" w:hAnsi="Times New Roman" w:eastAsia="宋体" w:cs="Times New Roman"/>
          <w:b w:val="0"/>
          <w:bCs w:val="0"/>
          <w:i w:val="0"/>
          <w:iCs w:val="0"/>
          <w:caps w:val="0"/>
          <w:spacing w:val="0"/>
          <w:sz w:val="28"/>
          <w:szCs w:val="28"/>
          <w:shd w:val="clear" w:fill="FFFFFF"/>
        </w:rPr>
      </w:pPr>
    </w:p>
    <w:p w14:paraId="5B2102F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  <w:b/>
          <w:sz w:val="36"/>
          <w:szCs w:val="36"/>
          <w:lang w:val="en-US" w:eastAsia="zh-CN"/>
        </w:rPr>
      </w:pPr>
      <w:bookmarkStart w:id="1" w:name="_Hlk37449348"/>
      <w:r>
        <w:rPr>
          <w:rFonts w:hint="default" w:ascii="Times New Roman" w:hAnsi="Times New Roman" w:eastAsia="宋体" w:cs="Times New Roman"/>
          <w:b/>
          <w:sz w:val="36"/>
          <w:szCs w:val="36"/>
          <w:lang w:val="en-US" w:eastAsia="zh-CN"/>
        </w:rPr>
        <w:t>活动图片：</w:t>
      </w:r>
    </w:p>
    <w:p w14:paraId="5FF6A29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eastAsia="zh-CN"/>
        </w:rPr>
        <w:drawing>
          <wp:inline distT="0" distB="0" distL="114300" distR="114300">
            <wp:extent cx="4748530" cy="3200400"/>
            <wp:effectExtent l="0" t="0" r="13970" b="0"/>
            <wp:docPr id="13" name="图片 13" descr="0588106a158fa88ade3f73190e68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588106a158fa88ade3f73190e68826"/>
                    <pic:cNvPicPr>
                      <a:picLocks noChangeAspect="1"/>
                    </pic:cNvPicPr>
                  </pic:nvPicPr>
                  <pic:blipFill>
                    <a:blip r:embed="rId15"/>
                    <a:srcRect t="10119"/>
                    <a:stretch>
                      <a:fillRect/>
                    </a:stretch>
                  </pic:blipFill>
                  <pic:spPr>
                    <a:xfrm>
                      <a:off x="0" y="0"/>
                      <a:ext cx="474853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2D88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图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10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 xml:space="preserve"> 晾衣架测量</w:t>
      </w:r>
    </w:p>
    <w:p w14:paraId="76D7FC6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5055870" cy="3159125"/>
            <wp:effectExtent l="0" t="0" r="11430" b="3175"/>
            <wp:docPr id="12" name="图片 12" descr="3aed51d20cff5e7df5d6ff2b622a7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3aed51d20cff5e7df5d6ff2b622a7b8"/>
                    <pic:cNvPicPr>
                      <a:picLocks noChangeAspect="1"/>
                    </pic:cNvPicPr>
                  </pic:nvPicPr>
                  <pic:blipFill>
                    <a:blip r:embed="rId16"/>
                    <a:srcRect t="36172" b="16989"/>
                    <a:stretch>
                      <a:fillRect/>
                    </a:stretch>
                  </pic:blipFill>
                  <pic:spPr>
                    <a:xfrm>
                      <a:off x="0" y="0"/>
                      <a:ext cx="5055870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3A82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图1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折叠凳测量</w:t>
      </w:r>
    </w:p>
    <w:p w14:paraId="6C2315B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4830445" cy="3620770"/>
            <wp:effectExtent l="0" t="0" r="8255" b="17780"/>
            <wp:docPr id="4" name="图片 4" descr="626ae2ea883dd9ccb42babd9841e9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26ae2ea883dd9ccb42babd9841e9c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30445" cy="362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9723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>图1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t xml:space="preserve"> 三脚架测量</w:t>
      </w:r>
      <w:bookmarkEnd w:id="1"/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5B7F6E">
    <w:pPr>
      <w:pStyle w:val="4"/>
    </w:pPr>
    <w:r>
      <w:t xml:space="preserve">                              </w:t>
    </w:r>
    <w:r>
      <w:ptab w:relativeTo="margin" w:alignment="center" w:leader="none"/>
    </w:r>
    <w:r>
      <w:t>7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5167294"/>
    <w:multiLevelType w:val="singleLevel"/>
    <w:tmpl w:val="95167294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1A715FEB"/>
    <w:multiLevelType w:val="singleLevel"/>
    <w:tmpl w:val="1A715FEB"/>
    <w:lvl w:ilvl="0" w:tentative="0">
      <w:start w:val="2"/>
      <w:numFmt w:val="decimal"/>
      <w:suff w:val="space"/>
      <w:lvlText w:val="%1."/>
      <w:lvlJc w:val="left"/>
    </w:lvl>
  </w:abstractNum>
  <w:abstractNum w:abstractNumId="2">
    <w:nsid w:val="55E14573"/>
    <w:multiLevelType w:val="singleLevel"/>
    <w:tmpl w:val="55E14573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269D"/>
    <w:rsid w:val="00014525"/>
    <w:rsid w:val="0005527C"/>
    <w:rsid w:val="0014765E"/>
    <w:rsid w:val="00153594"/>
    <w:rsid w:val="001764E8"/>
    <w:rsid w:val="0018474F"/>
    <w:rsid w:val="002510B3"/>
    <w:rsid w:val="002561DB"/>
    <w:rsid w:val="00295941"/>
    <w:rsid w:val="0030014E"/>
    <w:rsid w:val="0038075C"/>
    <w:rsid w:val="003A4422"/>
    <w:rsid w:val="003E5B37"/>
    <w:rsid w:val="003F2538"/>
    <w:rsid w:val="00406C2E"/>
    <w:rsid w:val="0040720B"/>
    <w:rsid w:val="00436049"/>
    <w:rsid w:val="00457DB6"/>
    <w:rsid w:val="004B10BC"/>
    <w:rsid w:val="005078E6"/>
    <w:rsid w:val="00516EA0"/>
    <w:rsid w:val="00532695"/>
    <w:rsid w:val="00535B00"/>
    <w:rsid w:val="005453B1"/>
    <w:rsid w:val="00574DBD"/>
    <w:rsid w:val="00591A79"/>
    <w:rsid w:val="005A1947"/>
    <w:rsid w:val="005D5914"/>
    <w:rsid w:val="0061269D"/>
    <w:rsid w:val="00633263"/>
    <w:rsid w:val="00636EBA"/>
    <w:rsid w:val="00646B57"/>
    <w:rsid w:val="0066183E"/>
    <w:rsid w:val="00676355"/>
    <w:rsid w:val="006825EE"/>
    <w:rsid w:val="006C180A"/>
    <w:rsid w:val="006E2084"/>
    <w:rsid w:val="006E7579"/>
    <w:rsid w:val="006F327C"/>
    <w:rsid w:val="00711967"/>
    <w:rsid w:val="007253B3"/>
    <w:rsid w:val="007545E3"/>
    <w:rsid w:val="007870FF"/>
    <w:rsid w:val="00795D4B"/>
    <w:rsid w:val="007B4BC7"/>
    <w:rsid w:val="00806DA2"/>
    <w:rsid w:val="00816FBF"/>
    <w:rsid w:val="00856E06"/>
    <w:rsid w:val="008631A0"/>
    <w:rsid w:val="008B35AE"/>
    <w:rsid w:val="008B3B29"/>
    <w:rsid w:val="00917B66"/>
    <w:rsid w:val="009B66F1"/>
    <w:rsid w:val="009F5949"/>
    <w:rsid w:val="00A231AD"/>
    <w:rsid w:val="00A57562"/>
    <w:rsid w:val="00A63842"/>
    <w:rsid w:val="00A738F9"/>
    <w:rsid w:val="00A81AFC"/>
    <w:rsid w:val="00AA77FF"/>
    <w:rsid w:val="00AB013C"/>
    <w:rsid w:val="00AD16BC"/>
    <w:rsid w:val="00B677FC"/>
    <w:rsid w:val="00B9098D"/>
    <w:rsid w:val="00B93936"/>
    <w:rsid w:val="00BA134F"/>
    <w:rsid w:val="00BB2EB7"/>
    <w:rsid w:val="00BE66A0"/>
    <w:rsid w:val="00C95794"/>
    <w:rsid w:val="00CA2E44"/>
    <w:rsid w:val="00CE494D"/>
    <w:rsid w:val="00D419CE"/>
    <w:rsid w:val="00D554A7"/>
    <w:rsid w:val="00D66BDD"/>
    <w:rsid w:val="00D75B6B"/>
    <w:rsid w:val="00DA6553"/>
    <w:rsid w:val="00DB3D64"/>
    <w:rsid w:val="00EB6CB2"/>
    <w:rsid w:val="00ED3C9E"/>
    <w:rsid w:val="00EF184E"/>
    <w:rsid w:val="00F408D1"/>
    <w:rsid w:val="05573D16"/>
    <w:rsid w:val="059C03CB"/>
    <w:rsid w:val="06D86B4B"/>
    <w:rsid w:val="105B53E4"/>
    <w:rsid w:val="10F67675"/>
    <w:rsid w:val="15B4486D"/>
    <w:rsid w:val="175D5FCB"/>
    <w:rsid w:val="18383533"/>
    <w:rsid w:val="1BED0AD9"/>
    <w:rsid w:val="212A1E87"/>
    <w:rsid w:val="219A0DBB"/>
    <w:rsid w:val="23F724F4"/>
    <w:rsid w:val="242E5B7B"/>
    <w:rsid w:val="25E244B9"/>
    <w:rsid w:val="27B626C7"/>
    <w:rsid w:val="2AB15BCE"/>
    <w:rsid w:val="2D7746A6"/>
    <w:rsid w:val="2EE1627B"/>
    <w:rsid w:val="30D9438A"/>
    <w:rsid w:val="31745184"/>
    <w:rsid w:val="33901050"/>
    <w:rsid w:val="33ED121E"/>
    <w:rsid w:val="3555351F"/>
    <w:rsid w:val="365612FD"/>
    <w:rsid w:val="38402264"/>
    <w:rsid w:val="3B4B3A01"/>
    <w:rsid w:val="40860A30"/>
    <w:rsid w:val="40B978B1"/>
    <w:rsid w:val="421A1D78"/>
    <w:rsid w:val="42817701"/>
    <w:rsid w:val="46454957"/>
    <w:rsid w:val="46A165C4"/>
    <w:rsid w:val="46BD7176"/>
    <w:rsid w:val="46C422B2"/>
    <w:rsid w:val="47F431A2"/>
    <w:rsid w:val="4C792DF7"/>
    <w:rsid w:val="4E3C4E24"/>
    <w:rsid w:val="500617DA"/>
    <w:rsid w:val="52C553E8"/>
    <w:rsid w:val="573A3ECB"/>
    <w:rsid w:val="5B0311A3"/>
    <w:rsid w:val="5DDF34A9"/>
    <w:rsid w:val="5E7E6B19"/>
    <w:rsid w:val="5F20431D"/>
    <w:rsid w:val="5F3062DF"/>
    <w:rsid w:val="6223212B"/>
    <w:rsid w:val="62C0797A"/>
    <w:rsid w:val="68C66B67"/>
    <w:rsid w:val="6ADC488C"/>
    <w:rsid w:val="6C223454"/>
    <w:rsid w:val="72715BD2"/>
    <w:rsid w:val="72CC4119"/>
    <w:rsid w:val="769767EC"/>
    <w:rsid w:val="79C773E8"/>
    <w:rsid w:val="7D8C697F"/>
    <w:rsid w:val="7DC91981"/>
    <w:rsid w:val="D2DF5F49"/>
    <w:rsid w:val="D7FF2A95"/>
    <w:rsid w:val="F6FF8314"/>
    <w:rsid w:val="FF26AD6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endnote text"/>
    <w:basedOn w:val="1"/>
    <w:link w:val="14"/>
    <w:semiHidden/>
    <w:unhideWhenUsed/>
    <w:qFormat/>
    <w:uiPriority w:val="99"/>
    <w:pPr>
      <w:snapToGrid w:val="0"/>
      <w:jc w:val="left"/>
    </w:pPr>
  </w:style>
  <w:style w:type="paragraph" w:styleId="3">
    <w:name w:val="Balloon Text"/>
    <w:basedOn w:val="1"/>
    <w:link w:val="13"/>
    <w:semiHidden/>
    <w:unhideWhenUsed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Strong"/>
    <w:basedOn w:val="7"/>
    <w:qFormat/>
    <w:uiPriority w:val="22"/>
    <w:rPr>
      <w:b/>
      <w:bCs/>
    </w:rPr>
  </w:style>
  <w:style w:type="character" w:styleId="9">
    <w:name w:val="endnote reference"/>
    <w:basedOn w:val="7"/>
    <w:semiHidden/>
    <w:unhideWhenUsed/>
    <w:qFormat/>
    <w:uiPriority w:val="99"/>
    <w:rPr>
      <w:vertAlign w:val="superscript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字符"/>
    <w:basedOn w:val="7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7"/>
    <w:link w:val="4"/>
    <w:qFormat/>
    <w:uiPriority w:val="99"/>
    <w:rPr>
      <w:sz w:val="18"/>
      <w:szCs w:val="18"/>
    </w:rPr>
  </w:style>
  <w:style w:type="character" w:customStyle="1" w:styleId="13">
    <w:name w:val="批注框文本 字符"/>
    <w:basedOn w:val="7"/>
    <w:link w:val="3"/>
    <w:semiHidden/>
    <w:qFormat/>
    <w:uiPriority w:val="99"/>
    <w:rPr>
      <w:sz w:val="18"/>
      <w:szCs w:val="18"/>
    </w:rPr>
  </w:style>
  <w:style w:type="character" w:customStyle="1" w:styleId="14">
    <w:name w:val="尾注文本 字符"/>
    <w:basedOn w:val="7"/>
    <w:link w:val="2"/>
    <w:semiHidden/>
    <w:qFormat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1" Type="http://schemas.openxmlformats.org/officeDocument/2006/relationships/fontTable" Target="fontTable.xml"/><Relationship Id="rId20" Type="http://schemas.openxmlformats.org/officeDocument/2006/relationships/customXml" Target="../customXml/item2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tyleName="APA" SelectedStyle="\APA.XSL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B1B3B33-AE2E-4A25-989F-07FEB4F59F8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3874</Words>
  <Characters>3928</Characters>
  <Lines>15</Lines>
  <Paragraphs>4</Paragraphs>
  <TotalTime>44</TotalTime>
  <ScaleCrop>false</ScaleCrop>
  <LinksUpToDate>false</LinksUpToDate>
  <CharactersWithSpaces>3974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2020-04-07T02:08:00Z</dcterms:created>
  <dc:creator>钱济龙</dc:creator>
  <cp:lastModifiedBy>Gfan</cp:lastModifiedBy>
  <dcterms:modified xsi:type="dcterms:W3CDTF">2026-01-27T14:29:14Z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8253C9CC66374DF7A39F790DBE805D48_13</vt:lpwstr>
  </property>
  <property fmtid="{D5CDD505-2E9C-101B-9397-08002B2CF9AE}" pid="4" name="KSOTemplateDocerSaveRecord">
    <vt:lpwstr>eyJoZGlkIjoiN2Y3NzI0NDg0ZjI3NDc1YjQ5MGUwMTk5Mjc4NmU5NjgiLCJ1c2VySWQiOiIxMDc3NTEyNjAwIn0=</vt:lpwstr>
  </property>
</Properties>
</file>