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295C8">
      <w:pPr>
        <w:keepNext w:val="0"/>
        <w:keepLines w:val="0"/>
        <w:widowControl/>
        <w:suppressLineNumbers w:val="0"/>
        <w:jc w:val="center"/>
        <w:rPr>
          <w:rFonts w:ascii="华文中宋" w:hAnsi="华文中宋" w:eastAsia="华文中宋" w:cs="华文中宋"/>
          <w:color w:val="0F1115"/>
          <w:kern w:val="0"/>
          <w:sz w:val="52"/>
          <w:szCs w:val="52"/>
          <w:lang w:val="en-US" w:eastAsia="zh-CN" w:bidi="ar"/>
        </w:rPr>
      </w:pPr>
    </w:p>
    <w:p w14:paraId="25ED2F02">
      <w:pPr>
        <w:keepNext w:val="0"/>
        <w:keepLines w:val="0"/>
        <w:widowControl/>
        <w:suppressLineNumbers w:val="0"/>
        <w:jc w:val="center"/>
        <w:rPr>
          <w:rFonts w:ascii="华文中宋" w:hAnsi="华文中宋" w:eastAsia="华文中宋" w:cs="华文中宋"/>
          <w:color w:val="0F1115"/>
          <w:kern w:val="0"/>
          <w:sz w:val="52"/>
          <w:szCs w:val="52"/>
          <w:lang w:val="en-US" w:eastAsia="zh-CN" w:bidi="ar"/>
        </w:rPr>
      </w:pPr>
      <w:r>
        <w:rPr>
          <w:rFonts w:ascii="华文中宋" w:hAnsi="华文中宋" w:eastAsia="华文中宋" w:cs="华文中宋"/>
          <w:color w:val="0F1115"/>
          <w:kern w:val="0"/>
          <w:sz w:val="52"/>
          <w:szCs w:val="52"/>
          <w:lang w:val="en-US" w:eastAsia="zh-CN" w:bidi="ar"/>
        </w:rPr>
        <w:t>基于遥感影像的徐州城市扩张与热环境变化关系研究</w:t>
      </w:r>
    </w:p>
    <w:p w14:paraId="1D63E2D6">
      <w:pPr>
        <w:keepNext w:val="0"/>
        <w:keepLines w:val="0"/>
        <w:widowControl/>
        <w:suppressLineNumbers w:val="0"/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项目设计</w:t>
      </w: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过程</w:t>
      </w:r>
      <w:r>
        <w:rPr>
          <w:rFonts w:hint="eastAsia" w:ascii="宋体" w:hAnsi="宋体"/>
          <w:b/>
          <w:bCs/>
          <w:sz w:val="52"/>
          <w:szCs w:val="52"/>
        </w:rPr>
        <w:t>说明书</w:t>
      </w:r>
    </w:p>
    <w:p w14:paraId="39BFD0D0">
      <w:pPr>
        <w:rPr>
          <w:rFonts w:hint="eastAsia"/>
        </w:rPr>
      </w:pPr>
    </w:p>
    <w:p w14:paraId="24448C33">
      <w:pPr>
        <w:rPr>
          <w:rFonts w:hint="eastAsia"/>
        </w:rPr>
      </w:pPr>
    </w:p>
    <w:p w14:paraId="564496E8">
      <w:pPr>
        <w:rPr>
          <w:rFonts w:hint="eastAsia"/>
        </w:rPr>
      </w:pPr>
    </w:p>
    <w:p w14:paraId="75B2E357">
      <w:pPr>
        <w:rPr>
          <w:rFonts w:hint="eastAsia"/>
        </w:rPr>
      </w:pPr>
    </w:p>
    <w:p w14:paraId="42E19773">
      <w:pPr>
        <w:rPr>
          <w:rFonts w:hint="eastAsia"/>
        </w:rPr>
      </w:pPr>
    </w:p>
    <w:p w14:paraId="292E9076">
      <w:pPr>
        <w:rPr>
          <w:rFonts w:hint="eastAsia"/>
        </w:rPr>
      </w:pPr>
    </w:p>
    <w:p w14:paraId="49C396B0">
      <w:pPr>
        <w:rPr>
          <w:rFonts w:hint="eastAsia"/>
        </w:rPr>
      </w:pPr>
    </w:p>
    <w:p w14:paraId="1418E075">
      <w:pPr>
        <w:rPr>
          <w:rFonts w:hint="eastAsia"/>
        </w:rPr>
      </w:pPr>
    </w:p>
    <w:p w14:paraId="249A1212">
      <w:pPr>
        <w:rPr>
          <w:rFonts w:hint="eastAsia"/>
        </w:rPr>
      </w:pPr>
    </w:p>
    <w:p w14:paraId="53B4A936">
      <w:pPr>
        <w:rPr>
          <w:rFonts w:hint="eastAsia"/>
        </w:rPr>
      </w:pPr>
    </w:p>
    <w:p w14:paraId="172D8A83">
      <w:pPr>
        <w:ind w:firstLine="643" w:firstLineChars="200"/>
        <w:rPr>
          <w:rFonts w:ascii="仿宋_GB2312" w:hAnsi="宋体" w:eastAsia="仿宋_GB2312"/>
          <w:bCs/>
          <w:sz w:val="28"/>
          <w:u w:val="single"/>
        </w:rPr>
      </w:pPr>
      <w:r>
        <w:rPr>
          <w:rFonts w:hint="eastAsia" w:ascii="仿宋_GB2312" w:hAnsi="宋体" w:eastAsia="仿宋_GB2312"/>
          <w:b/>
          <w:bCs/>
          <w:sz w:val="32"/>
        </w:rPr>
        <w:t>项目组成员：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u w:val="single"/>
          <w:lang w:val="en-US" w:eastAsia="zh-CN"/>
        </w:rPr>
        <w:t>朱文迪</w:t>
      </w:r>
      <w:r>
        <w:rPr>
          <w:rFonts w:hint="eastAsia" w:ascii="仿宋_GB2312" w:hAnsi="宋体" w:eastAsia="仿宋_GB2312"/>
          <w:b/>
          <w:bCs/>
          <w:sz w:val="28"/>
          <w:u w:val="single"/>
        </w:rPr>
        <w:t xml:space="preserve">       </w:t>
      </w:r>
      <w:r>
        <w:rPr>
          <w:rFonts w:hint="eastAsia" w:ascii="仿宋_GB2312" w:hAnsi="宋体" w:eastAsia="仿宋_GB2312"/>
          <w:bCs/>
          <w:sz w:val="28"/>
          <w:u w:val="single"/>
        </w:rPr>
        <w:t xml:space="preserve">                </w:t>
      </w:r>
    </w:p>
    <w:p w14:paraId="54CEE876">
      <w:pPr>
        <w:ind w:firstLine="643" w:firstLineChars="200"/>
        <w:rPr>
          <w:rFonts w:ascii="仿宋_GB2312" w:hAnsi="宋体" w:eastAsia="仿宋_GB2312"/>
          <w:b/>
          <w:bCs/>
          <w:sz w:val="32"/>
          <w:u w:val="single"/>
        </w:rPr>
      </w:pPr>
      <w:r>
        <w:rPr>
          <w:rFonts w:hint="eastAsia" w:ascii="仿宋_GB2312" w:hAnsi="宋体" w:eastAsia="仿宋_GB2312"/>
          <w:b/>
          <w:bCs/>
          <w:sz w:val="32"/>
        </w:rPr>
        <w:t>指导教师：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  广玉兰  </w:t>
      </w:r>
      <w:r>
        <w:rPr>
          <w:rFonts w:ascii="仿宋_GB2312" w:hAnsi="宋体" w:eastAsia="仿宋_GB2312"/>
          <w:b/>
          <w:bCs/>
          <w:sz w:val="32"/>
          <w:u w:val="single"/>
        </w:rPr>
        <w:t xml:space="preserve">        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                 </w:t>
      </w:r>
    </w:p>
    <w:p w14:paraId="213B9879">
      <w:pPr>
        <w:ind w:firstLine="643" w:firstLineChars="200"/>
      </w:pPr>
      <w:r>
        <w:rPr>
          <w:rFonts w:hint="eastAsia" w:ascii="仿宋_GB2312" w:hAnsi="宋体" w:eastAsia="仿宋_GB2312"/>
          <w:b/>
          <w:bCs/>
          <w:sz w:val="32"/>
        </w:rPr>
        <w:t>所在学校：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       徐州矿大实验学校            </w:t>
      </w:r>
    </w:p>
    <w:p w14:paraId="776FA2B7"/>
    <w:p w14:paraId="0DBBDAEE"/>
    <w:p w14:paraId="4AFDFAE8"/>
    <w:p w14:paraId="06775AD0"/>
    <w:p w14:paraId="2A22F7A2">
      <w:pPr>
        <w:jc w:val="center"/>
      </w:pPr>
      <w:r>
        <w:rPr>
          <w:rFonts w:hint="eastAsia" w:ascii="仿宋_GB2312" w:hAnsi="宋体" w:eastAsia="仿宋_GB2312"/>
          <w:b/>
          <w:bCs/>
          <w:sz w:val="32"/>
          <w:u w:val="single"/>
        </w:rPr>
        <w:t>20</w:t>
      </w:r>
      <w:r>
        <w:rPr>
          <w:rFonts w:ascii="仿宋_GB2312" w:hAnsi="宋体" w:eastAsia="仿宋_GB2312"/>
          <w:b/>
          <w:bCs/>
          <w:sz w:val="32"/>
          <w:u w:val="single"/>
        </w:rPr>
        <w:t>2</w:t>
      </w:r>
      <w:r>
        <w:rPr>
          <w:rFonts w:hint="eastAsia" w:ascii="仿宋_GB2312" w:hAnsi="宋体" w:eastAsia="仿宋_GB2312"/>
          <w:b/>
          <w:bCs/>
          <w:sz w:val="32"/>
          <w:u w:val="single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>年</w:t>
      </w:r>
      <w:r>
        <w:rPr>
          <w:rFonts w:hint="eastAsia" w:ascii="仿宋_GB2312" w:hAnsi="宋体" w:eastAsia="仿宋_GB2312"/>
          <w:b/>
          <w:bCs/>
          <w:sz w:val="32"/>
          <w:u w:val="single"/>
          <w:lang w:val="en-US" w:eastAsia="zh-CN"/>
        </w:rPr>
        <w:t>12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>月25日</w:t>
      </w:r>
    </w:p>
    <w:p w14:paraId="0373D761">
      <w:pPr>
        <w:rPr>
          <w:rFonts w:hint="eastAsia"/>
        </w:rPr>
      </w:pPr>
    </w:p>
    <w:p w14:paraId="3509BAD9">
      <w:pPr>
        <w:rPr>
          <w:rFonts w:hint="eastAsia"/>
        </w:rPr>
      </w:pPr>
    </w:p>
    <w:p w14:paraId="2648F392">
      <w:pPr>
        <w:rPr>
          <w:rFonts w:hint="eastAsia"/>
        </w:rPr>
      </w:pPr>
    </w:p>
    <w:p w14:paraId="47DD0012">
      <w:pPr>
        <w:rPr>
          <w:rFonts w:hint="eastAsia"/>
        </w:rPr>
      </w:pPr>
    </w:p>
    <w:p w14:paraId="4AB39987">
      <w:pPr>
        <w:rPr>
          <w:rFonts w:hint="eastAsia"/>
        </w:rPr>
      </w:pPr>
    </w:p>
    <w:p w14:paraId="7FA3A308">
      <w:pPr>
        <w:rPr>
          <w:rFonts w:hint="eastAsia"/>
        </w:rPr>
      </w:pPr>
    </w:p>
    <w:p w14:paraId="42749E89">
      <w:pPr>
        <w:rPr>
          <w:rFonts w:hint="eastAsia"/>
        </w:rPr>
      </w:pPr>
    </w:p>
    <w:p w14:paraId="5119A00A">
      <w:pPr>
        <w:rPr>
          <w:rFonts w:hint="eastAsia"/>
        </w:rPr>
      </w:pPr>
    </w:p>
    <w:p w14:paraId="3C5F5A93">
      <w:pPr>
        <w:rPr>
          <w:rFonts w:hint="eastAsia"/>
        </w:rPr>
      </w:pPr>
    </w:p>
    <w:p w14:paraId="59691276">
      <w:pPr>
        <w:rPr>
          <w:rFonts w:hint="eastAsia"/>
          <w:sz w:val="28"/>
          <w:szCs w:val="28"/>
        </w:rPr>
      </w:pPr>
    </w:p>
    <w:p w14:paraId="3A2495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一、总体研究方案</w:t>
      </w:r>
    </w:p>
    <w:p w14:paraId="244D3D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研究以徐州市中心城区为主要研究区，选取2000年、2010年、2020年三个时期的Landsat影像作为基础数据源。总体方案是：首先对遥感影像进行标准化预处理；其次，分别提取城市建成区信息和反演地表温度；然后，从时空动态、网格统计、景观格局三个维度分析二者的演变特征与关联；最后，探讨其驱动机制并提出建议。技术流程如下图所示：</w:t>
      </w:r>
    </w:p>
    <w:p w14:paraId="37116F2C">
      <w:pPr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</w:p>
    <w:p w14:paraId="712B2223">
      <w:pPr>
        <w:rPr>
          <w:rFonts w:hint="eastAsia" w:eastAsiaTheme="minorEastAsia"/>
          <w:sz w:val="28"/>
          <w:szCs w:val="28"/>
          <w:lang w:eastAsia="zh-CN"/>
        </w:rPr>
      </w:pPr>
    </w:p>
    <w:p w14:paraId="4AE0009A">
      <w:pPr>
        <w:rPr>
          <w:rFonts w:hint="eastAsia" w:eastAsiaTheme="minorEastAsia"/>
          <w:sz w:val="28"/>
          <w:szCs w:val="28"/>
          <w:lang w:eastAsia="zh-CN"/>
        </w:rPr>
      </w:pPr>
    </w:p>
    <w:p w14:paraId="78E653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二、数据源与预处理</w:t>
      </w:r>
    </w:p>
    <w:p w14:paraId="511FD8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2.1 数据源列表</w:t>
      </w:r>
    </w:p>
    <w:p w14:paraId="68318B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Landsat 5 TM影像（2000-08-10, 2010-08-15），空间分辨率30m（热红外波段120m重采样为30m）。</w:t>
      </w:r>
    </w:p>
    <w:p w14:paraId="3DFC18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Landsat 8 OLI/TIRS影像（2020-08-12），空间分辨率30m（热红外波段100m重采样为30m）。</w:t>
      </w:r>
    </w:p>
    <w:p w14:paraId="7F10711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徐州市行政边界矢量数据。</w:t>
      </w:r>
    </w:p>
    <w:p w14:paraId="22F0A80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同期徐州市统计年鉴（人口、GDP等）。</w:t>
      </w:r>
    </w:p>
    <w:p w14:paraId="4A4995CA">
      <w:pPr>
        <w:rPr>
          <w:rFonts w:hint="eastAsia"/>
          <w:sz w:val="28"/>
          <w:szCs w:val="28"/>
        </w:rPr>
      </w:pPr>
    </w:p>
    <w:p w14:paraId="44BF2F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2.2 影像预处理步骤（以ENVI软件为例）</w:t>
      </w:r>
    </w:p>
    <w:p w14:paraId="4B44A3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（1）辐射定标：将影像DN值转换为大气顶层辐射亮度或反射率。</w:t>
      </w:r>
    </w:p>
    <w:p w14:paraId="391B0DA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（2）大气校正：采用FLAASH模型，将辐射亮度转换为地表真实反射率，消除大气影响，为温度反演和分类提供准确数据。</w:t>
      </w:r>
    </w:p>
    <w:p w14:paraId="5A272C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（3）几何精校正与裁剪：以高精度地形图或高分影像为参考，将所有影像校正至统一坐标系（WGS_1984_UTM_Zone_50N），并利用研究区矢量边界进行裁剪。</w:t>
      </w:r>
    </w:p>
    <w:p w14:paraId="2C09B141">
      <w:pPr>
        <w:rPr>
          <w:rFonts w:hint="eastAsia"/>
          <w:sz w:val="28"/>
          <w:szCs w:val="28"/>
        </w:rPr>
      </w:pPr>
    </w:p>
    <w:p w14:paraId="6885BB03">
      <w:pPr>
        <w:rPr>
          <w:rFonts w:hint="eastAsia"/>
          <w:sz w:val="28"/>
          <w:szCs w:val="28"/>
        </w:rPr>
      </w:pPr>
    </w:p>
    <w:p w14:paraId="69C4A8FA">
      <w:pPr>
        <w:rPr>
          <w:rFonts w:hint="eastAsia" w:eastAsiaTheme="minorEastAsia"/>
          <w:sz w:val="28"/>
          <w:szCs w:val="28"/>
          <w:lang w:eastAsia="zh-CN"/>
        </w:rPr>
      </w:pPr>
    </w:p>
    <w:p w14:paraId="1B8B6A2F">
      <w:pPr>
        <w:rPr>
          <w:rFonts w:hint="eastAsia"/>
          <w:sz w:val="28"/>
          <w:szCs w:val="28"/>
        </w:rPr>
      </w:pPr>
    </w:p>
    <w:p w14:paraId="28D0F346">
      <w:pPr>
        <w:rPr>
          <w:rFonts w:hint="eastAsia"/>
          <w:sz w:val="28"/>
          <w:szCs w:val="28"/>
        </w:rPr>
      </w:pPr>
    </w:p>
    <w:p w14:paraId="74EC33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三、城市建成区信息提取方法</w:t>
      </w:r>
    </w:p>
    <w:p w14:paraId="5D56BD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3.1 提取方法选择与依据</w:t>
      </w:r>
    </w:p>
    <w:p w14:paraId="474395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对比了监督分类（如支持向量机SVM）、决策树分类和指数阈值法。由于NDBI等指数对裸土有混淆，而SVM在高维小样本下表现稳健，故决定采用“NDBI+NDVI+波段反射率”构建特征集，利用SVM进行监督分类。</w:t>
      </w:r>
    </w:p>
    <w:p w14:paraId="65BA3F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步骤：</w:t>
      </w:r>
    </w:p>
    <w:p w14:paraId="5D5F53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（1）计算NDVI（归一化植被指数）、NDBI（归一化建筑指数）、MNDWI（改进的归一化水体指数）。</w:t>
      </w:r>
    </w:p>
    <w:p w14:paraId="7372691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（2）选择训练样本：在研究区均匀选择城市建设用地、植被、水体、裸地四类典型地物的训练样本。</w:t>
      </w:r>
    </w:p>
    <w:p w14:paraId="757D7F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（3）SVM分类：将多波段反射率与NDVI、NDBI、MNDWI作为输入特征，执行SVM分类。</w:t>
      </w:r>
    </w:p>
    <w:p w14:paraId="74B1C69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（4）后处理与精度验证：利用多数分析过滤小斑块，结合Google Earth高清影像进行目视修正。采用混淆矩阵和Kappa系数进行精度评价，确保三期分类总体精度均&gt;85%。</w:t>
      </w:r>
    </w:p>
    <w:p w14:paraId="24509A3F">
      <w:pPr>
        <w:rPr>
          <w:rFonts w:hint="eastAsia"/>
          <w:sz w:val="28"/>
          <w:szCs w:val="28"/>
        </w:rPr>
      </w:pPr>
    </w:p>
    <w:p w14:paraId="41D5577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3.2 扩张动态分析指标</w:t>
      </w:r>
    </w:p>
    <w:p w14:paraId="67CFF0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扩张面积与速度</w:t>
      </w:r>
    </w:p>
    <w:p w14:paraId="06B487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扩张强度指数：单位时间内新增建设用地面积占研究区总面积的比例。</w:t>
      </w:r>
    </w:p>
    <w:p w14:paraId="4756FC1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扩张动态度：各时期建设用地面积的年变化率。</w:t>
      </w:r>
    </w:p>
    <w:p w14:paraId="0F699A1F">
      <w:pPr>
        <w:rPr>
          <w:rFonts w:hint="eastAsia"/>
          <w:sz w:val="28"/>
          <w:szCs w:val="28"/>
        </w:rPr>
      </w:pPr>
    </w:p>
    <w:p w14:paraId="7A65C1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四、地表温度反演方法</w:t>
      </w:r>
    </w:p>
    <w:p w14:paraId="257851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4.1 反演算法</w:t>
      </w:r>
    </w:p>
    <w:p w14:paraId="740069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对于Landsat 5 TM：采用覃志豪单窗算法，需要地表比辐射率参数。地表比辐射率通过NDVI阈值法估算。</w:t>
      </w:r>
    </w:p>
    <w:p w14:paraId="784233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对于Landsat 8 TIRS：采用辐射传输方程法，利用Band 10数据，所需参数包括大气透过率、大气上行辐射、下行辐射（可通过NASA大气校正参数计算器获取）。</w:t>
      </w:r>
    </w:p>
    <w:p w14:paraId="3F7105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步骤：</w:t>
      </w:r>
    </w:p>
    <w:p w14:paraId="2CE3F5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（1）热红外波段辐射定标，转换为辐射亮度值。</w:t>
      </w:r>
    </w:p>
    <w:p w14:paraId="14B42E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（2）计算像元地表比辐射率。</w:t>
      </w:r>
    </w:p>
    <w:p w14:paraId="770F68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（3）计算同温黑体辐射亮度。</w:t>
      </w:r>
    </w:p>
    <w:p w14:paraId="7C4918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（4）利用普朗克公式反演地表温度（LST），单位为开尔文（K），后转换为摄氏度（℃）。</w:t>
      </w:r>
    </w:p>
    <w:p w14:paraId="56DAA81B">
      <w:pPr>
        <w:rPr>
          <w:rFonts w:hint="eastAsia"/>
          <w:sz w:val="28"/>
          <w:szCs w:val="28"/>
        </w:rPr>
      </w:pPr>
    </w:p>
    <w:p w14:paraId="4394D1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4.2 热岛等级划分</w:t>
      </w:r>
    </w:p>
    <w:p w14:paraId="407CB75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为便于比较，对三期地表温度进行归一化，得到相对地表温度（LST*）。采用自然断点法，将LST*分为5级：低温区、较低温区、中温区、较高温区、高温区（即热岛核心区）。</w:t>
      </w:r>
    </w:p>
    <w:p w14:paraId="4D1C8B0B">
      <w:pPr>
        <w:rPr>
          <w:rFonts w:hint="eastAsia"/>
          <w:sz w:val="28"/>
          <w:szCs w:val="28"/>
        </w:rPr>
      </w:pPr>
    </w:p>
    <w:p w14:paraId="4E680DC1">
      <w:pPr>
        <w:rPr>
          <w:rFonts w:hint="eastAsia"/>
          <w:sz w:val="28"/>
          <w:szCs w:val="28"/>
        </w:rPr>
      </w:pPr>
    </w:p>
    <w:p w14:paraId="6C2117AD">
      <w:pPr>
        <w:rPr>
          <w:rFonts w:hint="eastAsia"/>
          <w:sz w:val="28"/>
          <w:szCs w:val="28"/>
        </w:rPr>
      </w:pPr>
    </w:p>
    <w:p w14:paraId="351989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五、时空关联分析方法设计</w:t>
      </w:r>
    </w:p>
    <w:p w14:paraId="04FAA7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5.1 网格叠加分析法</w:t>
      </w:r>
    </w:p>
    <w:p w14:paraId="324CFA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将研究区划分为1km×1km的规则网格。计算每个网格内两个指标：</w:t>
      </w:r>
    </w:p>
    <w:p w14:paraId="28ED6D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建设用地占比（PLAND）：网格内建设用地面积/网格总面积。</w:t>
      </w:r>
    </w:p>
    <w:p w14:paraId="1E56FF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平均相对地表温度：网格内所有像元LST*的平均值。</w:t>
      </w:r>
    </w:p>
    <w:p w14:paraId="2C7BB9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然后，计算三期数据中所有网格的PLAND与平均LST*之间的皮尔逊相关系数，并建立一元线性回归模型，分析其相关性随时间的演变。</w:t>
      </w:r>
    </w:p>
    <w:p w14:paraId="57E6FD39">
      <w:pPr>
        <w:rPr>
          <w:rFonts w:hint="eastAsia"/>
          <w:sz w:val="28"/>
          <w:szCs w:val="28"/>
        </w:rPr>
      </w:pPr>
    </w:p>
    <w:p w14:paraId="77EDF1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5.2 景观格局指数分析</w:t>
      </w:r>
    </w:p>
    <w:p w14:paraId="3F21CC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在Fragstats软件中，计算建设用地类型的景观格局指数：</w:t>
      </w:r>
    </w:p>
    <w:p w14:paraId="7C80C18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斑块密度（PD）：反映破碎化程度。</w:t>
      </w:r>
    </w:p>
    <w:p w14:paraId="3AFCED1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景观形状指数（LSI）：反映形状复杂性。</w:t>
      </w:r>
    </w:p>
    <w:p w14:paraId="5840EF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聚集度指数（AI）：反映斑块聚集程度。</w:t>
      </w:r>
    </w:p>
    <w:p w14:paraId="2A06297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在SPSS或R语言中，分析这些景观指数与区域平均地表温度之间的相关性，探讨建设用地空间配置对热环境的影响。</w:t>
      </w:r>
    </w:p>
    <w:p w14:paraId="3AC4D115">
      <w:pPr>
        <w:rPr>
          <w:rFonts w:hint="eastAsia"/>
          <w:sz w:val="28"/>
          <w:szCs w:val="28"/>
        </w:rPr>
      </w:pPr>
    </w:p>
    <w:p w14:paraId="15A8FEB4">
      <w:pPr>
        <w:rPr>
          <w:rFonts w:hint="eastAsia"/>
          <w:sz w:val="28"/>
          <w:szCs w:val="28"/>
        </w:rPr>
      </w:pPr>
    </w:p>
    <w:p w14:paraId="2BCAFB48">
      <w:pPr>
        <w:rPr>
          <w:rFonts w:hint="eastAsia"/>
          <w:sz w:val="28"/>
          <w:szCs w:val="28"/>
        </w:rPr>
      </w:pPr>
    </w:p>
    <w:p w14:paraId="3BAA5095">
      <w:pPr>
        <w:rPr>
          <w:rFonts w:hint="eastAsia"/>
          <w:sz w:val="28"/>
          <w:szCs w:val="28"/>
        </w:rPr>
      </w:pPr>
    </w:p>
    <w:p w14:paraId="538A1782">
      <w:pPr>
        <w:rPr>
          <w:rFonts w:hint="eastAsia"/>
          <w:sz w:val="28"/>
          <w:szCs w:val="28"/>
        </w:rPr>
      </w:pPr>
    </w:p>
    <w:p w14:paraId="5B42FBB8">
      <w:pPr>
        <w:rPr>
          <w:rFonts w:hint="eastAsia"/>
          <w:sz w:val="28"/>
          <w:szCs w:val="28"/>
        </w:rPr>
      </w:pPr>
    </w:p>
    <w:p w14:paraId="5728F0BC">
      <w:pPr>
        <w:rPr>
          <w:rFonts w:hint="eastAsia"/>
          <w:sz w:val="28"/>
          <w:szCs w:val="28"/>
        </w:rPr>
      </w:pPr>
    </w:p>
    <w:p w14:paraId="77278B9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六、可能遇到的问题与解决方案</w:t>
      </w:r>
    </w:p>
    <w:p w14:paraId="7FF53F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问题1：不同时期、不同传感器数据的一致性。方案：严格进行辐射归一化和大气校正，并使用相对温度进行比较。</w:t>
      </w:r>
    </w:p>
    <w:p w14:paraId="2309971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问题2：混合像元影响分类和温度精度。方案：采用更高分辨率的影像（如Sentinel-2）作为辅助验证数据。</w:t>
      </w:r>
    </w:p>
    <w:p w14:paraId="7D66F7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问题3：驱动因素量化困难。方案：主成分分析法用于筛选主要社会经济驱动因子。</w:t>
      </w:r>
    </w:p>
    <w:p w14:paraId="044684D1">
      <w:pPr>
        <w:rPr>
          <w:rFonts w:hint="eastAsia"/>
          <w:sz w:val="28"/>
          <w:szCs w:val="28"/>
        </w:rPr>
      </w:pPr>
    </w:p>
    <w:p w14:paraId="7BE490F6">
      <w:pPr>
        <w:rPr>
          <w:rFonts w:hint="eastAsia"/>
          <w:sz w:val="28"/>
          <w:szCs w:val="28"/>
        </w:rPr>
      </w:pPr>
    </w:p>
    <w:p w14:paraId="7957B49A">
      <w:pPr>
        <w:rPr>
          <w:rFonts w:hint="eastAsia"/>
          <w:sz w:val="28"/>
          <w:szCs w:val="28"/>
        </w:rPr>
      </w:pPr>
    </w:p>
    <w:p w14:paraId="75C982F5">
      <w:pPr>
        <w:rPr>
          <w:rFonts w:hint="eastAsia"/>
          <w:sz w:val="28"/>
          <w:szCs w:val="28"/>
        </w:rPr>
      </w:pPr>
    </w:p>
    <w:p w14:paraId="2A43BA3F">
      <w:pPr>
        <w:rPr>
          <w:rFonts w:hint="eastAsia"/>
          <w:sz w:val="28"/>
          <w:szCs w:val="28"/>
        </w:rPr>
      </w:pPr>
    </w:p>
    <w:p w14:paraId="5A6E8BFC">
      <w:pPr>
        <w:rPr>
          <w:rFonts w:hint="eastAsia"/>
          <w:sz w:val="28"/>
          <w:szCs w:val="28"/>
        </w:rPr>
      </w:pPr>
    </w:p>
    <w:p w14:paraId="31563730">
      <w:pPr>
        <w:rPr>
          <w:rFonts w:hint="eastAsia"/>
          <w:sz w:val="28"/>
          <w:szCs w:val="28"/>
        </w:rPr>
      </w:pPr>
    </w:p>
    <w:p w14:paraId="196BF87A">
      <w:pPr>
        <w:rPr>
          <w:rFonts w:hint="eastAsia"/>
          <w:sz w:val="28"/>
          <w:szCs w:val="28"/>
        </w:rPr>
      </w:pPr>
    </w:p>
    <w:p w14:paraId="6F972DDD">
      <w:pPr>
        <w:rPr>
          <w:rFonts w:hint="eastAsia"/>
          <w:sz w:val="28"/>
          <w:szCs w:val="28"/>
        </w:rPr>
      </w:pPr>
    </w:p>
    <w:p w14:paraId="47328F49">
      <w:pPr>
        <w:rPr>
          <w:rFonts w:hint="eastAsia"/>
          <w:sz w:val="28"/>
          <w:szCs w:val="28"/>
        </w:rPr>
      </w:pPr>
    </w:p>
    <w:p w14:paraId="25820C26">
      <w:pPr>
        <w:rPr>
          <w:rFonts w:hint="eastAsia"/>
          <w:sz w:val="28"/>
          <w:szCs w:val="28"/>
        </w:rPr>
      </w:pPr>
    </w:p>
    <w:p w14:paraId="308C23C0">
      <w:pPr>
        <w:rPr>
          <w:rFonts w:hint="eastAsia"/>
          <w:sz w:val="28"/>
          <w:szCs w:val="28"/>
        </w:rPr>
      </w:pPr>
    </w:p>
    <w:p w14:paraId="5D6101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七、下一步工作计划</w:t>
      </w:r>
    </w:p>
    <w:p w14:paraId="0F9968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完成影像预处理和2000年用地分类与温度反演，并进行精度验证。着手编写SVM分类和温度反演的IDL/Python批处理脚本，提高后续年份数据处理效率。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63354"/>
    <w:rsid w:val="098310CF"/>
    <w:rsid w:val="4ABD2A05"/>
    <w:rsid w:val="6A563354"/>
    <w:rsid w:val="6BEB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1668</Words>
  <Characters>1945</Characters>
  <Lines>0</Lines>
  <Paragraphs>0</Paragraphs>
  <TotalTime>8</TotalTime>
  <ScaleCrop>false</ScaleCrop>
  <LinksUpToDate>false</LinksUpToDate>
  <CharactersWithSpaces>2056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2026-03-01T07:36:00Z</dcterms:created>
  <dc:creator>.</dc:creator>
  <cp:lastModifiedBy>.</cp:lastModifiedBy>
  <dcterms:modified xsi:type="dcterms:W3CDTF">2026-03-14T08:49:49Z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371F0624F23944FC921985B3D0EBA560_11</vt:lpwstr>
  </property>
  <property fmtid="{D5CDD505-2E9C-101B-9397-08002B2CF9AE}" pid="4" name="KSOTemplateDocerSaveRecord">
    <vt:lpwstr>eyJoZGlkIjoiMjg5M2Q5OGQ2YjUzYzA5ODJmZjMxMTE3M2FjZDdjMTUiLCJ1c2VySWQiOiIxODAzOTkzMDM4In0=</vt:lpwstr>
  </property>
</Properties>
</file>