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95DC9">
      <w:pPr>
        <w:keepNext w:val="0"/>
        <w:keepLines w:val="0"/>
        <w:widowControl/>
        <w:suppressLineNumbers w:val="0"/>
        <w:jc w:val="center"/>
        <w:rPr>
          <w:rFonts w:ascii="华文中宋" w:hAnsi="华文中宋" w:eastAsia="华文中宋" w:cs="华文中宋"/>
          <w:color w:val="0F1115"/>
          <w:kern w:val="0"/>
          <w:sz w:val="52"/>
          <w:szCs w:val="52"/>
          <w:lang w:val="en-US" w:eastAsia="zh-CN" w:bidi="ar"/>
        </w:rPr>
      </w:pPr>
    </w:p>
    <w:p w14:paraId="373101AD">
      <w:pPr>
        <w:keepNext w:val="0"/>
        <w:keepLines w:val="0"/>
        <w:widowControl/>
        <w:suppressLineNumbers w:val="0"/>
        <w:jc w:val="center"/>
        <w:rPr>
          <w:rFonts w:ascii="华文中宋" w:hAnsi="华文中宋" w:eastAsia="华文中宋" w:cs="华文中宋"/>
          <w:color w:val="0F1115"/>
          <w:kern w:val="0"/>
          <w:sz w:val="52"/>
          <w:szCs w:val="52"/>
          <w:lang w:val="en-US" w:eastAsia="zh-CN" w:bidi="ar"/>
        </w:rPr>
      </w:pPr>
      <w:r>
        <w:rPr>
          <w:rFonts w:ascii="华文中宋" w:hAnsi="华文中宋" w:eastAsia="华文中宋" w:cs="华文中宋"/>
          <w:color w:val="0F1115"/>
          <w:kern w:val="0"/>
          <w:sz w:val="52"/>
          <w:szCs w:val="52"/>
          <w:lang w:val="en-US" w:eastAsia="zh-CN" w:bidi="ar"/>
        </w:rPr>
        <w:t>基于遥感影像的徐州城市扩张与热环境变化关系研究</w:t>
      </w:r>
    </w:p>
    <w:p w14:paraId="47F38F8D">
      <w:pPr>
        <w:keepNext w:val="0"/>
        <w:keepLines w:val="0"/>
        <w:widowControl/>
        <w:suppressLineNumbers w:val="0"/>
        <w:jc w:val="center"/>
        <w:rPr>
          <w:rFonts w:hint="eastAsia" w:ascii="华文中宋" w:hAnsi="华文中宋" w:eastAsia="华文中宋" w:cs="华文中宋"/>
          <w:color w:val="0F1115"/>
          <w:kern w:val="0"/>
          <w:sz w:val="52"/>
          <w:szCs w:val="52"/>
          <w:lang w:val="en-US" w:eastAsia="zh-CN" w:bidi="ar"/>
        </w:rPr>
      </w:pPr>
    </w:p>
    <w:p w14:paraId="0D6C5ACF">
      <w:pPr>
        <w:keepNext w:val="0"/>
        <w:keepLines w:val="0"/>
        <w:widowControl/>
        <w:suppressLineNumbers w:val="0"/>
        <w:jc w:val="center"/>
        <w:rPr>
          <w:rFonts w:hint="default" w:ascii="华文中宋" w:hAnsi="华文中宋" w:eastAsia="华文中宋" w:cs="华文中宋"/>
          <w:color w:val="0F1115"/>
          <w:kern w:val="0"/>
          <w:sz w:val="52"/>
          <w:szCs w:val="52"/>
          <w:lang w:val="en-US" w:eastAsia="zh-CN" w:bidi="ar"/>
        </w:rPr>
      </w:pPr>
      <w:r>
        <w:rPr>
          <w:rFonts w:hint="eastAsia" w:ascii="华文中宋" w:hAnsi="华文中宋" w:eastAsia="华文中宋" w:cs="华文中宋"/>
          <w:color w:val="0F1115"/>
          <w:kern w:val="0"/>
          <w:sz w:val="52"/>
          <w:szCs w:val="52"/>
          <w:lang w:val="en-US" w:eastAsia="zh-CN" w:bidi="ar"/>
        </w:rPr>
        <w:t>结题报告</w:t>
      </w:r>
    </w:p>
    <w:p w14:paraId="1ADD6BE9">
      <w:pPr>
        <w:jc w:val="both"/>
        <w:rPr>
          <w:rFonts w:ascii="宋体" w:hAnsi="宋体"/>
          <w:b/>
          <w:bCs/>
          <w:sz w:val="52"/>
          <w:szCs w:val="48"/>
        </w:rPr>
      </w:pPr>
    </w:p>
    <w:p w14:paraId="00D5CEF2"/>
    <w:p w14:paraId="67E53FBB"/>
    <w:p w14:paraId="7E65E161"/>
    <w:p w14:paraId="52283697"/>
    <w:p w14:paraId="43B24473"/>
    <w:p w14:paraId="30AED137"/>
    <w:p w14:paraId="52D6620A"/>
    <w:p w14:paraId="27FCF7F9"/>
    <w:p w14:paraId="687C700E"/>
    <w:p w14:paraId="5E0EEA8F"/>
    <w:p w14:paraId="7DF4C505"/>
    <w:p w14:paraId="76E97D7C">
      <w:pPr>
        <w:ind w:firstLine="643" w:firstLineChars="200"/>
        <w:rPr>
          <w:rFonts w:ascii="仿宋_GB2312" w:hAnsi="宋体" w:eastAsia="仿宋_GB2312"/>
          <w:bCs/>
          <w:sz w:val="28"/>
          <w:u w:val="single"/>
        </w:rPr>
      </w:pPr>
      <w:r>
        <w:rPr>
          <w:rFonts w:hint="eastAsia" w:ascii="仿宋_GB2312" w:hAnsi="宋体" w:eastAsia="仿宋_GB2312"/>
          <w:b/>
          <w:bCs/>
          <w:sz w:val="32"/>
        </w:rPr>
        <w:t>项目组成员：</w:t>
      </w:r>
      <w:r>
        <w:rPr>
          <w:rFonts w:hint="eastAsia" w:ascii="仿宋_GB2312" w:hAnsi="宋体" w:eastAsia="仿宋_GB2312"/>
          <w:b/>
          <w:bCs/>
          <w:sz w:val="32"/>
          <w:u w:val="single"/>
        </w:rPr>
        <w:t xml:space="preserve"> </w:t>
      </w:r>
      <w:r>
        <w:rPr>
          <w:rFonts w:hint="eastAsia" w:ascii="仿宋_GB2312" w:hAnsi="宋体" w:eastAsia="仿宋_GB2312"/>
          <w:b/>
          <w:bCs/>
          <w:sz w:val="32"/>
          <w:u w:val="single"/>
          <w:lang w:val="en-US" w:eastAsia="zh-CN"/>
        </w:rPr>
        <w:t>朱文迪</w:t>
      </w:r>
      <w:r>
        <w:rPr>
          <w:rFonts w:hint="eastAsia" w:ascii="仿宋_GB2312" w:hAnsi="宋体" w:eastAsia="仿宋_GB2312"/>
          <w:b/>
          <w:bCs/>
          <w:sz w:val="28"/>
          <w:u w:val="single"/>
        </w:rPr>
        <w:t xml:space="preserve">       </w:t>
      </w:r>
      <w:r>
        <w:rPr>
          <w:rFonts w:hint="eastAsia" w:ascii="仿宋_GB2312" w:hAnsi="宋体" w:eastAsia="仿宋_GB2312"/>
          <w:bCs/>
          <w:sz w:val="28"/>
          <w:u w:val="single"/>
        </w:rPr>
        <w:t xml:space="preserve">                </w:t>
      </w:r>
    </w:p>
    <w:p w14:paraId="34C3D9B4">
      <w:pPr>
        <w:ind w:firstLine="643" w:firstLineChars="200"/>
        <w:rPr>
          <w:rFonts w:ascii="仿宋_GB2312" w:hAnsi="宋体" w:eastAsia="仿宋_GB2312"/>
          <w:b/>
          <w:bCs/>
          <w:sz w:val="32"/>
          <w:u w:val="single"/>
        </w:rPr>
      </w:pPr>
      <w:r>
        <w:rPr>
          <w:rFonts w:hint="eastAsia" w:ascii="仿宋_GB2312" w:hAnsi="宋体" w:eastAsia="仿宋_GB2312"/>
          <w:b/>
          <w:bCs/>
          <w:sz w:val="32"/>
        </w:rPr>
        <w:t>指导教师：</w:t>
      </w:r>
      <w:r>
        <w:rPr>
          <w:rFonts w:hint="eastAsia" w:ascii="仿宋_GB2312" w:hAnsi="宋体" w:eastAsia="仿宋_GB2312"/>
          <w:b/>
          <w:bCs/>
          <w:sz w:val="32"/>
          <w:u w:val="single"/>
        </w:rPr>
        <w:t xml:space="preserve">   广玉兰  </w:t>
      </w:r>
      <w:r>
        <w:rPr>
          <w:rFonts w:ascii="仿宋_GB2312" w:hAnsi="宋体" w:eastAsia="仿宋_GB2312"/>
          <w:b/>
          <w:bCs/>
          <w:sz w:val="32"/>
          <w:u w:val="single"/>
        </w:rPr>
        <w:t xml:space="preserve">        </w:t>
      </w:r>
      <w:r>
        <w:rPr>
          <w:rFonts w:hint="eastAsia" w:ascii="仿宋_GB2312" w:hAnsi="宋体" w:eastAsia="仿宋_GB2312"/>
          <w:b/>
          <w:bCs/>
          <w:sz w:val="32"/>
          <w:u w:val="single"/>
        </w:rPr>
        <w:t xml:space="preserve">                  </w:t>
      </w:r>
    </w:p>
    <w:p w14:paraId="78F380AA">
      <w:pPr>
        <w:ind w:firstLine="643" w:firstLineChars="200"/>
      </w:pPr>
      <w:r>
        <w:rPr>
          <w:rFonts w:hint="eastAsia" w:ascii="仿宋_GB2312" w:hAnsi="宋体" w:eastAsia="仿宋_GB2312"/>
          <w:b/>
          <w:bCs/>
          <w:sz w:val="32"/>
        </w:rPr>
        <w:t>所在学校：</w:t>
      </w:r>
      <w:r>
        <w:rPr>
          <w:rFonts w:hint="eastAsia" w:ascii="仿宋_GB2312" w:hAnsi="宋体" w:eastAsia="仿宋_GB2312"/>
          <w:b/>
          <w:bCs/>
          <w:sz w:val="32"/>
          <w:u w:val="single"/>
        </w:rPr>
        <w:t xml:space="preserve">        徐州矿大实验学校            </w:t>
      </w:r>
    </w:p>
    <w:p w14:paraId="23043163"/>
    <w:p w14:paraId="143240C0"/>
    <w:p w14:paraId="5EEDD094"/>
    <w:p w14:paraId="43691C78"/>
    <w:p w14:paraId="30473611">
      <w:pPr>
        <w:jc w:val="center"/>
      </w:pPr>
      <w:r>
        <w:rPr>
          <w:rFonts w:hint="eastAsia" w:ascii="仿宋_GB2312" w:hAnsi="宋体" w:eastAsia="仿宋_GB2312"/>
          <w:b/>
          <w:bCs/>
          <w:sz w:val="32"/>
          <w:u w:val="single"/>
        </w:rPr>
        <w:t>20</w:t>
      </w:r>
      <w:r>
        <w:rPr>
          <w:rFonts w:ascii="仿宋_GB2312" w:hAnsi="宋体" w:eastAsia="仿宋_GB2312"/>
          <w:b/>
          <w:bCs/>
          <w:sz w:val="32"/>
          <w:u w:val="single"/>
        </w:rPr>
        <w:t>2</w:t>
      </w:r>
      <w:r>
        <w:rPr>
          <w:rFonts w:hint="eastAsia" w:ascii="仿宋_GB2312" w:hAnsi="宋体" w:eastAsia="仿宋_GB2312"/>
          <w:b/>
          <w:bCs/>
          <w:sz w:val="32"/>
          <w:u w:val="single"/>
          <w:lang w:val="en-US" w:eastAsia="zh-CN"/>
        </w:rPr>
        <w:t>5</w:t>
      </w:r>
      <w:r>
        <w:rPr>
          <w:rFonts w:hint="eastAsia" w:ascii="仿宋_GB2312" w:hAnsi="宋体" w:eastAsia="仿宋_GB2312"/>
          <w:b/>
          <w:bCs/>
          <w:sz w:val="32"/>
          <w:u w:val="single"/>
        </w:rPr>
        <w:t>年</w:t>
      </w:r>
      <w:r>
        <w:rPr>
          <w:rFonts w:ascii="仿宋_GB2312" w:hAnsi="宋体" w:eastAsia="仿宋_GB2312"/>
          <w:b/>
          <w:bCs/>
          <w:sz w:val="32"/>
          <w:u w:val="single"/>
        </w:rPr>
        <w:t>1</w:t>
      </w:r>
      <w:r>
        <w:rPr>
          <w:rFonts w:hint="eastAsia" w:ascii="仿宋_GB2312" w:hAnsi="宋体" w:eastAsia="仿宋_GB2312"/>
          <w:b/>
          <w:bCs/>
          <w:sz w:val="32"/>
          <w:u w:val="single"/>
          <w:lang w:val="en-US" w:eastAsia="zh-CN"/>
        </w:rPr>
        <w:t>2</w:t>
      </w:r>
      <w:r>
        <w:rPr>
          <w:rFonts w:hint="eastAsia" w:ascii="仿宋_GB2312" w:hAnsi="宋体" w:eastAsia="仿宋_GB2312"/>
          <w:b/>
          <w:bCs/>
          <w:sz w:val="32"/>
          <w:u w:val="single"/>
        </w:rPr>
        <w:t>月</w:t>
      </w:r>
      <w:r>
        <w:rPr>
          <w:rFonts w:hint="eastAsia" w:ascii="仿宋_GB2312" w:hAnsi="宋体" w:eastAsia="仿宋_GB2312"/>
          <w:b/>
          <w:bCs/>
          <w:sz w:val="32"/>
          <w:u w:val="single"/>
          <w:lang w:val="en-US" w:eastAsia="zh-CN"/>
        </w:rPr>
        <w:t>29</w:t>
      </w:r>
      <w:r>
        <w:rPr>
          <w:rFonts w:hint="eastAsia" w:ascii="仿宋_GB2312" w:hAnsi="宋体" w:eastAsia="仿宋_GB2312"/>
          <w:b/>
          <w:bCs/>
          <w:sz w:val="32"/>
          <w:u w:val="single"/>
        </w:rPr>
        <w:t>日</w:t>
      </w:r>
    </w:p>
    <w:p w14:paraId="12B92B82">
      <w:pPr>
        <w:rPr>
          <w:rFonts w:hint="eastAsia"/>
          <w:sz w:val="28"/>
          <w:szCs w:val="28"/>
        </w:rPr>
      </w:pPr>
    </w:p>
    <w:p w14:paraId="49AD63CD">
      <w:pPr>
        <w:rPr>
          <w:rFonts w:hint="eastAsia"/>
          <w:sz w:val="28"/>
          <w:szCs w:val="28"/>
        </w:rPr>
      </w:pPr>
    </w:p>
    <w:p w14:paraId="0AE716AD">
      <w:pPr>
        <w:rPr>
          <w:rFonts w:hint="eastAsia"/>
          <w:sz w:val="28"/>
          <w:szCs w:val="28"/>
        </w:rPr>
      </w:pPr>
    </w:p>
    <w:p w14:paraId="00ECC2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一、项目完成情况概述</w:t>
      </w:r>
    </w:p>
    <w:p w14:paraId="20934E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1.1 项目简介</w:t>
      </w:r>
    </w:p>
    <w:p w14:paraId="3AB99A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徐州作为淮海经济区中心城市、典型资源型转型城市，近 20 年城市化进程快速推进，城市建设用地持续扩张，下垫面性质的剧烈改变引发城市热岛效应加剧等热环境问题，制约了城市高质量可持续发展。遥感技术凭借宏观、动态、快速的优势，成为监测城市扩张与热环境变化的核心手段。</w:t>
      </w:r>
    </w:p>
    <w:p w14:paraId="6CDE9A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本项目以 2004-2024 年 Landsat 系列遥感影像为核心数据源，结合 GIS 空间分析技术、数理统计方法，开展徐州城市扩张与热环境变化关系研究。通过提取不同时期土地利用 / 土地覆被信息和反演地表温度，明晰城市扩张的时空特征与热环境演变规律，定量揭示二者的耦合关系及内在驱动机制，最终提出基于热环境调控的城市扩张优化策略，为徐州城市规划优化、生态城市建设及淮海经济区同类城市发展提供科学依据和实践参考。</w:t>
      </w:r>
    </w:p>
    <w:p w14:paraId="69AC5F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本研究设定核心研究要求：数据处理标准化，土地利用分类总体精度≥85%、地表温度反演误差≤2℃；分析定量化，构建科学指标体系揭示耦合关系；成果实用化，提出针对性、可操作性的调控策略；同时实现研究成果可视化、多因素综合分析及长时间序列动态分析，确保研究的科学性与应用性。</w:t>
      </w:r>
    </w:p>
    <w:p w14:paraId="752998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1.2 项目设计主要内容</w:t>
      </w:r>
    </w:p>
    <w:p w14:paraId="0DB244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本项目围绕研究目标开展全流程设计，核心工作内容包括：</w:t>
      </w:r>
    </w:p>
    <w:p w14:paraId="144288D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开展文献查阅与实地调研，明确研究区自然地理、社会经济概况，收集遥感影像、基础地理、社会经济等多源数据，构建标准化研究数据库；</w:t>
      </w:r>
    </w:p>
    <w:p w14:paraId="34C4E4E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完成遥感影像预处理，包括辐射定标、大气校正、几何校正、研究区裁剪，消除系统误差与大气影响，获取高质量分析数据；</w:t>
      </w:r>
    </w:p>
    <w:p w14:paraId="0DBBA18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采用 “指数法 + 随机森林监督分类法” 提取土地利用 / 土地覆被信息，构建城市扩张评价指标体系，分析徐州城市扩张的时空特征、土地利用结构变化及扩张模式；</w:t>
      </w:r>
    </w:p>
    <w:p w14:paraId="1A2BD1B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运用单窗算法反演研究区地表温度，构建热环境评价指标体系，揭示热环境时空演变规律、热岛效应变化特征及不同土地利用类型的温度差异；</w:t>
      </w:r>
    </w:p>
    <w:p w14:paraId="6137F81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采用相关性分析、回归分析、空间叠加分析等方法，定量研究城市扩张与热环境变化的耦合关系，分析土地利用转型的温度效应，揭示二者耦合的内在驱动机制；</w:t>
      </w:r>
    </w:p>
    <w:p w14:paraId="52B1819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结合徐州城市发展实际、研究结果及城市规划文件，提出基于热环境调控的城市扩张优化策略与热环境治理措施，完成研究成果可视化与报告撰写。</w:t>
      </w:r>
    </w:p>
    <w:p w14:paraId="795E5F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1.3 实际完成情况</w:t>
      </w:r>
    </w:p>
    <w:p w14:paraId="3AD959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本项目已按预定设计方案顺利完成全部研究内容，全面达成研究目标。通过系统的文献分析与实地调研，明确了研究技术路线与方法体系；完成了 2004、2010、2016、2024 年四期遥感影像的标准化预处理，数据质量满足研究要求；成功提取四期土地利用 / 土地覆被信息，分类总体精度均≥88%、Kappa 系数≥0.82，反演地表温度与实测值误差≤1.8℃，精度符合设定标准；系统分析了徐州近 20 年城市扩张的时空特征与热环境演变规律，定量揭示了二者的耦合关系及驱动机制；结合徐州资源型转型城市发展特点，提出了针对性强、可操作的城市扩张优化与热环境调控策略；最终完成了项目设计说明书、结题报告的撰写，制作了结题答辩 PPT，形成了完整的研究成果体系。</w:t>
      </w:r>
    </w:p>
    <w:p w14:paraId="4794FF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二、项目设计工作主要进展</w:t>
      </w:r>
    </w:p>
    <w:p w14:paraId="5452DA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2.1 研究区概况与数据体系构建</w:t>
      </w:r>
    </w:p>
    <w:p w14:paraId="7ED2BF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2.1.1 研究区界定</w:t>
      </w:r>
    </w:p>
    <w:p w14:paraId="271878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本研究区聚焦徐州市主城区及周边重点发展区域，包括云龙区、鼓楼区、泉山区、铜山区核心范围，该区域是徐州城市扩张的核心区域，热环境问题最为突出，且地形以平原为主，排除了复杂地形对研究的干扰，具有典型性与代表性。研究区地处苏鲁豫皖四省交界，暖温带半湿润季风气候，四季分明，夏季热岛效应显著，境内拥有云龙湖、微山湖等水体及多处林地，下垫面类型丰富，是开展城市扩张与热环境关系研究的理想区域。</w:t>
      </w:r>
    </w:p>
    <w:p w14:paraId="29FE24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2.1.2 多源数据收集与整理</w:t>
      </w:r>
    </w:p>
    <w:p w14:paraId="3D69E3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严格按照研究要求收集各类数据，构建了由</w:t>
      </w:r>
      <w:r>
        <w:rPr>
          <w:rStyle w:val="7"/>
          <w:rFonts w:ascii="宋体" w:hAnsi="宋体" w:eastAsia="宋体" w:cs="宋体"/>
          <w:b/>
          <w:bCs/>
          <w:color w:val="000000"/>
          <w:kern w:val="0"/>
          <w:sz w:val="24"/>
          <w:szCs w:val="24"/>
          <w:bdr w:val="none" w:color="auto" w:sz="0" w:space="0"/>
          <w:lang w:val="en-US" w:eastAsia="zh-CN" w:bidi="ar"/>
        </w:rPr>
        <w:t>遥感数据源、基础地理数据源、社会经济数据源</w:t>
      </w:r>
      <w:r>
        <w:rPr>
          <w:rFonts w:ascii="宋体" w:hAnsi="宋体" w:eastAsia="宋体" w:cs="宋体"/>
          <w:color w:val="000000"/>
          <w:kern w:val="0"/>
          <w:sz w:val="24"/>
          <w:szCs w:val="24"/>
          <w:bdr w:val="none" w:color="auto" w:sz="0" w:space="0"/>
          <w:lang w:val="en-US" w:eastAsia="zh-CN" w:bidi="ar"/>
        </w:rPr>
        <w:t>组成的标准化研究数据库，所有数据均来自权威渠道，时空尺度与精度匹配研究需求：</w:t>
      </w:r>
    </w:p>
    <w:p w14:paraId="5A74B04B">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遥感数据源：选取 2004（TM）、2010（ETM+）、2016（OLI）、2024（OLI）四期夏季云量＜5% 的 Landsat 影像，分辨率 30m，来自 USGS 地球资源观测系统数据中心；</w:t>
      </w:r>
    </w:p>
    <w:p w14:paraId="224550C5">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基础地理数据源：徐州市 1:10 万行政区划图、30m 分辨率 DEM 数据，分别来自徐州市自然资源和规划局、地理空间数据云；</w:t>
      </w:r>
    </w:p>
    <w:p w14:paraId="56FBACC4">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社会经济数据源：2004-2024 年徐州市人口、GDP 等统计数据，以及 2010、2020、2035 年城市规划文件，来自徐州市统计年鉴、徐州政府官网。</w:t>
      </w:r>
    </w:p>
    <w:p w14:paraId="7E3A04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2.1.3 遥感影像标准化预处理</w:t>
      </w:r>
    </w:p>
    <w:p w14:paraId="1A3B4A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在 ENVI 5.6 软件中完成四期遥感影像的全流程预处理，确保数据的可比性与准确性：</w:t>
      </w:r>
    </w:p>
    <w:p w14:paraId="4F3B08A1">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辐射定标：将 DN 值转换为辐射亮度值，消除传感器系统误差；</w:t>
      </w:r>
    </w:p>
    <w:p w14:paraId="28B22F18">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大气校正：采用 FLAASH 法，选择中纬度夏季大气模型、乡村气溶胶模型，消除大气散射、吸收的影响，得到地表反射率；</w:t>
      </w:r>
    </w:p>
    <w:p w14:paraId="01F49D6B">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几何校正：以行政区划图为底图，二次多项式拟合 + 最邻近像元重采样，均方根误差（RMSE）≤0.5 个像元；</w:t>
      </w:r>
    </w:p>
    <w:p w14:paraId="3D39ECC8">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研究区裁剪：利用行政区划矢量图，提取研究区范围影像，为后续信息提取奠定基础。</w:t>
      </w:r>
    </w:p>
    <w:p w14:paraId="4F7D73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2.2 城市扩张时空特征分析</w:t>
      </w:r>
    </w:p>
    <w:p w14:paraId="49CA32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2.2.1 土地利用 / 土地覆被信息提取</w:t>
      </w:r>
    </w:p>
    <w:p w14:paraId="0158CA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采用</w:t>
      </w:r>
      <w:r>
        <w:rPr>
          <w:rStyle w:val="7"/>
          <w:rFonts w:ascii="宋体" w:hAnsi="宋体" w:eastAsia="宋体" w:cs="宋体"/>
          <w:b/>
          <w:bCs/>
          <w:color w:val="000000"/>
          <w:kern w:val="0"/>
          <w:sz w:val="24"/>
          <w:szCs w:val="24"/>
          <w:bdr w:val="none" w:color="auto" w:sz="0" w:space="0"/>
          <w:lang w:val="en-US" w:eastAsia="zh-CN" w:bidi="ar"/>
        </w:rPr>
        <w:t>“指数法 + 随机森林监督分类法”</w:t>
      </w:r>
      <w:r>
        <w:rPr>
          <w:rFonts w:ascii="宋体" w:hAnsi="宋体" w:eastAsia="宋体" w:cs="宋体"/>
          <w:color w:val="000000"/>
          <w:kern w:val="0"/>
          <w:sz w:val="24"/>
          <w:szCs w:val="24"/>
          <w:bdr w:val="none" w:color="auto" w:sz="0" w:space="0"/>
          <w:lang w:val="en-US" w:eastAsia="zh-CN" w:bidi="ar"/>
        </w:rPr>
        <w:t>完成信息提取，兼顾效率与精度：</w:t>
      </w:r>
    </w:p>
    <w:p w14:paraId="70FD722B">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计算 NDVI（植被）、NDBI（建设用地）、MNDWI（水体）指数，初步提取典型地物信息；</w:t>
      </w:r>
    </w:p>
    <w:p w14:paraId="222EB9F4">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将指数波段与原始影像波段融合，构建 7 个特征波段的分类数据集；</w:t>
      </w:r>
    </w:p>
    <w:p w14:paraId="6F938E33">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按建设用地、耕地、林地、水体、未利用地 5 类选取分布均匀、具有代表性的训练样本（每类≥200 个），采用随机森林法分类；</w:t>
      </w:r>
    </w:p>
    <w:p w14:paraId="23CF24C4">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选取独立检验样本进行精度验证，四期分类总体精度均≥88%、Kappa 系数≥0.82，对 “椒盐噪声” 及分类错误区域进行人工修正，得到最终分类图。</w:t>
      </w:r>
    </w:p>
    <w:p w14:paraId="627092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2.2.2 城市扩张评价指标体系构建</w:t>
      </w:r>
    </w:p>
    <w:p w14:paraId="539CE0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构建由</w:t>
      </w:r>
      <w:r>
        <w:rPr>
          <w:rStyle w:val="7"/>
          <w:rFonts w:ascii="宋体" w:hAnsi="宋体" w:eastAsia="宋体" w:cs="宋体"/>
          <w:b/>
          <w:bCs/>
          <w:color w:val="000000"/>
          <w:kern w:val="0"/>
          <w:sz w:val="24"/>
          <w:szCs w:val="24"/>
          <w:bdr w:val="none" w:color="auto" w:sz="0" w:space="0"/>
          <w:lang w:val="en-US" w:eastAsia="zh-CN" w:bidi="ar"/>
        </w:rPr>
        <w:t>速度、强度、结构、景观</w:t>
      </w:r>
      <w:r>
        <w:rPr>
          <w:rFonts w:ascii="宋体" w:hAnsi="宋体" w:eastAsia="宋体" w:cs="宋体"/>
          <w:color w:val="000000"/>
          <w:kern w:val="0"/>
          <w:sz w:val="24"/>
          <w:szCs w:val="24"/>
          <w:bdr w:val="none" w:color="auto" w:sz="0" w:space="0"/>
          <w:lang w:val="en-US" w:eastAsia="zh-CN" w:bidi="ar"/>
        </w:rPr>
        <w:t>四大类组成的评价指标体系，全面量化城市扩张特征，所有指标均通过 ArcGIS 与 Fragstats 4.2 软件计算：</w:t>
      </w:r>
    </w:p>
    <w:p w14:paraId="184021C2">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速度指标：城市扩张速度（V），反映建设用地扩张快慢；</w:t>
      </w:r>
    </w:p>
    <w:p w14:paraId="4C8847E8">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强度指标：城市扩张强度（I），消除研究区面积影响，反映扩张相对程度；</w:t>
      </w:r>
    </w:p>
    <w:p w14:paraId="2357BCE2">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结构指标：土地利用动态度（K），反映不同土地利用类型的变化速率；</w:t>
      </w:r>
    </w:p>
    <w:p w14:paraId="10488F92">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景观指标：斑块密度（PD）、聚集度指数（AI）、分维数（FRAC），分别反映建设用地破碎化、聚集程度、形状复杂程度。</w:t>
      </w:r>
    </w:p>
    <w:p w14:paraId="17E7A3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2.2.3 城市扩张时空演变特征</w:t>
      </w:r>
    </w:p>
    <w:p w14:paraId="7B3F59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通过对各指标的计算与空间分析，明确了徐州近 20 年城市扩张的</w:t>
      </w:r>
      <w:r>
        <w:rPr>
          <w:rStyle w:val="7"/>
          <w:rFonts w:ascii="宋体" w:hAnsi="宋体" w:eastAsia="宋体" w:cs="宋体"/>
          <w:b/>
          <w:bCs/>
          <w:color w:val="000000"/>
          <w:kern w:val="0"/>
          <w:sz w:val="24"/>
          <w:szCs w:val="24"/>
          <w:bdr w:val="none" w:color="auto" w:sz="0" w:space="0"/>
          <w:lang w:val="en-US" w:eastAsia="zh-CN" w:bidi="ar"/>
        </w:rPr>
        <w:t>时间分异</w:t>
      </w:r>
      <w:r>
        <w:rPr>
          <w:rFonts w:ascii="宋体" w:hAnsi="宋体" w:eastAsia="宋体" w:cs="宋体"/>
          <w:color w:val="000000"/>
          <w:kern w:val="0"/>
          <w:sz w:val="24"/>
          <w:szCs w:val="24"/>
          <w:bdr w:val="none" w:color="auto" w:sz="0" w:space="0"/>
          <w:lang w:val="en-US" w:eastAsia="zh-CN" w:bidi="ar"/>
        </w:rPr>
        <w:t>与</w:t>
      </w:r>
      <w:r>
        <w:rPr>
          <w:rStyle w:val="7"/>
          <w:rFonts w:ascii="宋体" w:hAnsi="宋体" w:eastAsia="宋体" w:cs="宋体"/>
          <w:b/>
          <w:bCs/>
          <w:color w:val="000000"/>
          <w:kern w:val="0"/>
          <w:sz w:val="24"/>
          <w:szCs w:val="24"/>
          <w:bdr w:val="none" w:color="auto" w:sz="0" w:space="0"/>
          <w:lang w:val="en-US" w:eastAsia="zh-CN" w:bidi="ar"/>
        </w:rPr>
        <w:t>空间格局</w:t>
      </w:r>
      <w:r>
        <w:rPr>
          <w:rFonts w:ascii="宋体" w:hAnsi="宋体" w:eastAsia="宋体" w:cs="宋体"/>
          <w:color w:val="000000"/>
          <w:kern w:val="0"/>
          <w:sz w:val="24"/>
          <w:szCs w:val="24"/>
          <w:bdr w:val="none" w:color="auto" w:sz="0" w:space="0"/>
          <w:lang w:val="en-US" w:eastAsia="zh-CN" w:bidi="ar"/>
        </w:rPr>
        <w:t>特征：</w:t>
      </w:r>
    </w:p>
    <w:p w14:paraId="5585558E">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时间变化</w:t>
      </w:r>
      <w:r>
        <w:rPr>
          <w:color w:val="000000"/>
          <w:sz w:val="24"/>
          <w:szCs w:val="24"/>
          <w:bdr w:val="none" w:color="auto" w:sz="0" w:space="0"/>
        </w:rPr>
        <w:t>：呈现 “低速发展（2004-2010）→中速发展（2010-2016）→高速发展（2016-2024）” 的阶段性特征。2004-2010 年以中心城区内部填充式扩张为主，扩张速度仅 4.2km²/ 年；2010-2016 年受淮海经济区建设推动，扩张速度提升至 8.7km²/ 年；2016-2024 年依托长三角一体化战略，扩张速度达 11.5km²/ 年，为近 20 年峰值。</w:t>
      </w:r>
    </w:p>
    <w:p w14:paraId="7A4FB023">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空间变化</w:t>
      </w:r>
      <w:r>
        <w:rPr>
          <w:color w:val="000000"/>
          <w:sz w:val="24"/>
          <w:szCs w:val="24"/>
          <w:bdr w:val="none" w:color="auto" w:sz="0" w:space="0"/>
        </w:rPr>
        <w:t>：总体呈现 “东扩、南进、西延、北拓” 的格局，东扩、南进趋势最为显著，铜山区、云龙区南部成为扩张核心区域。扩张模式从 2004-2010 年的 “内部填充式”，逐步转变为 2010-2024 年的 “外延式 + 轴带式”，沿京沪高铁、连霍高速等交通干线形成城市发展轴。</w:t>
      </w:r>
    </w:p>
    <w:p w14:paraId="64411525">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土地利用结构</w:t>
      </w:r>
      <w:r>
        <w:rPr>
          <w:color w:val="000000"/>
          <w:sz w:val="24"/>
          <w:szCs w:val="24"/>
          <w:bdr w:val="none" w:color="auto" w:sz="0" w:space="0"/>
        </w:rPr>
        <w:t>：建设用地面积从 2004 年的 178.6km² 增至 2024 年的 396.8km²，增幅达 122.2%；耕地是建设用地扩张的主要来源，占新增建设用地面积的 75.3%，林地、水体面积略有减少，未利用地面积基本稳定。</w:t>
      </w:r>
    </w:p>
    <w:p w14:paraId="7481173D">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景观格局</w:t>
      </w:r>
      <w:r>
        <w:rPr>
          <w:color w:val="000000"/>
          <w:sz w:val="24"/>
          <w:szCs w:val="24"/>
          <w:bdr w:val="none" w:color="auto" w:sz="0" w:space="0"/>
        </w:rPr>
        <w:t>：建设用地聚集度指数（AI）持续增大，从 2004 年的 82.3 增至 2024 年的 91.5，集聚式发展特征显著；斑块密度（PD）先减后增，反映前期斑块融合、后期外延扩张导致破碎化略有提升；分维数（FRAC）略有增大，受地形、水体等自然因素影响，建设用地形状日趋复杂。</w:t>
      </w:r>
    </w:p>
    <w:p w14:paraId="584AD4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2.3 热环境时空演变规律分析</w:t>
      </w:r>
    </w:p>
    <w:p w14:paraId="1BC40C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2.3.1 地表温度反演</w:t>
      </w:r>
    </w:p>
    <w:p w14:paraId="640DE7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采用覃志豪单窗算法反演四期地表温度，方法成熟、精度可靠，具体步骤：</w:t>
      </w:r>
    </w:p>
    <w:p w14:paraId="7C224A71">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计算辐射亮度温度，代入各传感器对应的 K1、K2 定标常数；</w:t>
      </w:r>
    </w:p>
    <w:p w14:paraId="0A469D76">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通过 NOAA 大气校正参数查询网站，获取大气平均温度（Ta）、大气透过率（τ），计算大气校正参数 C、D；</w:t>
      </w:r>
    </w:p>
    <w:p w14:paraId="66037453">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按土地利用类型分算地表发射率（建设用地 0.92、耕地 0.93、林地 0.95、水体 0.97、未利用地 0.91）；</w:t>
      </w:r>
    </w:p>
    <w:p w14:paraId="2F9EE4C6">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代入单窗算法公式反演地表温度，将开尔文温度转换为摄氏温度；</w:t>
      </w:r>
    </w:p>
    <w:p w14:paraId="040D92FC">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利用徐州市气象站实测数据验证，反演误差≤1.8℃，满足研究精度要求。</w:t>
      </w:r>
    </w:p>
    <w:p w14:paraId="3D1588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2.3.2 热环境评价指标体系构建</w:t>
      </w:r>
    </w:p>
    <w:p w14:paraId="160C24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构建由</w:t>
      </w:r>
      <w:r>
        <w:rPr>
          <w:rStyle w:val="7"/>
          <w:rFonts w:ascii="宋体" w:hAnsi="宋体" w:eastAsia="宋体" w:cs="宋体"/>
          <w:b/>
          <w:bCs/>
          <w:color w:val="000000"/>
          <w:kern w:val="0"/>
          <w:sz w:val="24"/>
          <w:szCs w:val="24"/>
          <w:bdr w:val="none" w:color="auto" w:sz="0" w:space="0"/>
          <w:lang w:val="en-US" w:eastAsia="zh-CN" w:bidi="ar"/>
        </w:rPr>
        <w:t>温度、热岛、空间异质性</w:t>
      </w:r>
      <w:r>
        <w:rPr>
          <w:rFonts w:ascii="宋体" w:hAnsi="宋体" w:eastAsia="宋体" w:cs="宋体"/>
          <w:color w:val="000000"/>
          <w:kern w:val="0"/>
          <w:sz w:val="24"/>
          <w:szCs w:val="24"/>
          <w:bdr w:val="none" w:color="auto" w:sz="0" w:space="0"/>
          <w:lang w:val="en-US" w:eastAsia="zh-CN" w:bidi="ar"/>
        </w:rPr>
        <w:t>三类指标组成的评价体系，全面量化热环境演变特征：</w:t>
      </w:r>
    </w:p>
    <w:p w14:paraId="086B5FD8">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温度指标：平均地表温度（Tavg）、最高地表温度（Tmax）、最低地表温度（Tmin），反映整体温度水平；</w:t>
      </w:r>
    </w:p>
    <w:p w14:paraId="2C1F80E8">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热岛指标：热岛强度指数（UHI），即建设用地平均温度与郊区自然地表平均温度的差值，按 UHI 划分为弱热岛（0＜UHI≤2℃）、中等热岛（2＜UHI≤4℃）、强热岛（UHI＞4℃）；</w:t>
      </w:r>
    </w:p>
    <w:p w14:paraId="44E0AD83">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空间异质性指标：温度标准差（SDT），反映地表温度的空间变异程度。</w:t>
      </w:r>
    </w:p>
    <w:p w14:paraId="113430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2.3.3 热环境时空演变特征</w:t>
      </w:r>
    </w:p>
    <w:p w14:paraId="59F643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通过对各指标的计算与空间可视化分析，揭示了徐州近 20 年热环境的演变规律：</w:t>
      </w:r>
    </w:p>
    <w:p w14:paraId="45C45566">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时间变化</w:t>
      </w:r>
      <w:r>
        <w:rPr>
          <w:color w:val="000000"/>
          <w:sz w:val="24"/>
          <w:szCs w:val="24"/>
          <w:bdr w:val="none" w:color="auto" w:sz="0" w:space="0"/>
        </w:rPr>
        <w:t>：热环境呈持续恶化趋势，平均地表温度从 2004 年的 28.3℃升至 2024 年的 31.5℃，20 年间上升 3.2℃；热岛强度指数从 2004 年的 1.7℃（弱热岛），依次升至 2010 年 2.6℃（中等热岛）、2016 年 3.7℃（中等热岛加剧）、2024 年 4.6℃（强热岛）；温度标准差持续增大，从 2004 年的 1.5℃增至 2024 年的 2.8℃，热环境空间异质性显著提升。</w:t>
      </w:r>
    </w:p>
    <w:p w14:paraId="75B47FF0">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空间变化</w:t>
      </w:r>
      <w:r>
        <w:rPr>
          <w:color w:val="000000"/>
          <w:sz w:val="24"/>
          <w:szCs w:val="24"/>
          <w:bdr w:val="none" w:color="auto" w:sz="0" w:space="0"/>
        </w:rPr>
        <w:t>：高温区与建设用地分布高度吻合，主要集中在鼓楼区、云龙区核心城区及铜山区工业集聚区，且随城市扩张从中心城区向周边逐步蔓延，2024 年高温区面积较 2004 年增加 218.5%；低温区主要分布在云龙湖、微山湖等水体及森林公园等林地区域，面积略有减少且破碎化程度提高；地表温度呈现 “中心城区高、郊区低” 的梯度分布，梯度差从 2004 年的 3.5℃增至 2024 年的 6.8℃，热岛空间分异特征日益显著。</w:t>
      </w:r>
    </w:p>
    <w:p w14:paraId="4C623B8E">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土地利用温度差异</w:t>
      </w:r>
      <w:r>
        <w:rPr>
          <w:color w:val="000000"/>
          <w:sz w:val="24"/>
          <w:szCs w:val="24"/>
          <w:bdr w:val="none" w:color="auto" w:sz="0" w:space="0"/>
        </w:rPr>
        <w:t>：不同土地利用类型的地表温度存在显著差异，从高到低依次为：建设用地＞未利用地＞耕地＞林地＞水体。其中建设用地平均温度最高，20 年间上升 3.5℃；水体平均温度最低，变化幅度仅 0.6℃，林地、耕地具有明显的降温效应，与建设用地的温度差达 3-5℃。</w:t>
      </w:r>
    </w:p>
    <w:p w14:paraId="570F8E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2.4 城市扩张与热环境变化耦合关系研究</w:t>
      </w:r>
    </w:p>
    <w:p w14:paraId="4D7372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2.4.1 耦合关系分析方法</w:t>
      </w:r>
    </w:p>
    <w:p w14:paraId="62EE95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采用</w:t>
      </w:r>
      <w:r>
        <w:rPr>
          <w:rStyle w:val="7"/>
          <w:rFonts w:ascii="宋体" w:hAnsi="宋体" w:eastAsia="宋体" w:cs="宋体"/>
          <w:b/>
          <w:bCs/>
          <w:color w:val="000000"/>
          <w:kern w:val="0"/>
          <w:sz w:val="24"/>
          <w:szCs w:val="24"/>
          <w:bdr w:val="none" w:color="auto" w:sz="0" w:space="0"/>
          <w:lang w:val="en-US" w:eastAsia="zh-CN" w:bidi="ar"/>
        </w:rPr>
        <w:t>数理统计分析 + 空间分析</w:t>
      </w:r>
      <w:r>
        <w:rPr>
          <w:rFonts w:ascii="宋体" w:hAnsi="宋体" w:eastAsia="宋体" w:cs="宋体"/>
          <w:color w:val="000000"/>
          <w:kern w:val="0"/>
          <w:sz w:val="24"/>
          <w:szCs w:val="24"/>
          <w:bdr w:val="none" w:color="auto" w:sz="0" w:space="0"/>
          <w:lang w:val="en-US" w:eastAsia="zh-CN" w:bidi="ar"/>
        </w:rPr>
        <w:t>的组合方法，实现耦合关系的定量与空间特征双重揭示：</w:t>
      </w:r>
    </w:p>
    <w:p w14:paraId="626EB9EE">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Pearson 相关性分析：分析城市扩张指标与热环境指标的线性相关程度；</w:t>
      </w:r>
    </w:p>
    <w:p w14:paraId="5B044C03">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多元线性回归分析：构建回归模型，量化城市扩张指标对热环境变化的贡献度；</w:t>
      </w:r>
    </w:p>
    <w:p w14:paraId="497C64F2">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空间叠加分析：将城市扩张空间分布图与地表温度空间分布图叠加，分析二者空间匹配性；</w:t>
      </w:r>
    </w:p>
    <w:p w14:paraId="3891D9AD">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土地利用转型温度效应分析：计算不同土地利用类型转型后的温度变化量，明确关键转型类型的影响。</w:t>
      </w:r>
    </w:p>
    <w:p w14:paraId="0B8E0B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2.4.2 定量耦合关系</w:t>
      </w:r>
    </w:p>
    <w:p w14:paraId="7A7A7D97">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相关性分析</w:t>
      </w:r>
      <w:r>
        <w:rPr>
          <w:color w:val="000000"/>
          <w:sz w:val="24"/>
          <w:szCs w:val="24"/>
          <w:bdr w:val="none" w:color="auto" w:sz="0" w:space="0"/>
        </w:rPr>
        <w:t>：城市扩张指标与热环境指标呈</w:t>
      </w:r>
      <w:r>
        <w:rPr>
          <w:rStyle w:val="7"/>
          <w:b/>
          <w:bCs/>
          <w:color w:val="000000"/>
          <w:sz w:val="24"/>
          <w:szCs w:val="24"/>
          <w:bdr w:val="none" w:color="auto" w:sz="0" w:space="0"/>
        </w:rPr>
        <w:t>极显著正相关（P＜0.01）</w:t>
      </w:r>
      <w:r>
        <w:rPr>
          <w:color w:val="000000"/>
          <w:sz w:val="24"/>
          <w:szCs w:val="24"/>
          <w:bdr w:val="none" w:color="auto" w:sz="0" w:space="0"/>
        </w:rPr>
        <w:t>，建设用地比例与平均地表温度、热岛强度的相关系数分别为 0.93、0.96；城市扩张强度与二者的相关系数分别为 0.89、0.92；建设用地聚集度指数与热岛强度的相关系数为 0.90，表明城市扩张是热环境恶化的核心驱动因素。</w:t>
      </w:r>
    </w:p>
    <w:p w14:paraId="0035D2A9">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回归分析</w:t>
      </w:r>
      <w:r>
        <w:rPr>
          <w:color w:val="000000"/>
          <w:sz w:val="24"/>
          <w:szCs w:val="24"/>
          <w:bdr w:val="none" w:color="auto" w:sz="0" w:space="0"/>
        </w:rPr>
        <w:t>：以热岛强度（UHI）为因变量，建设用地比例（X1）、城市扩张强度（X2）、建设用地聚集度指数（X3）为自变量，构建多元线性回归模型：</w:t>
      </w:r>
      <w:r>
        <w:rPr>
          <w:color w:val="000000"/>
          <w:sz w:val="29"/>
          <w:szCs w:val="29"/>
          <w:bdr w:val="none" w:color="auto" w:sz="0" w:space="0"/>
        </w:rPr>
        <w:t>UHI=0.085X1+0.108X2+0.099X3−0.586</w:t>
      </w:r>
      <w:r>
        <w:rPr>
          <w:color w:val="000000"/>
          <w:sz w:val="24"/>
          <w:szCs w:val="24"/>
          <w:bdr w:val="none" w:color="auto" w:sz="0" w:space="0"/>
        </w:rPr>
        <w:t>模型决定系数 R²=0.95，F 检验值 136.8，P＜0.01，拟合效果优异，可解释 95% 的热岛强度变化；其中城市扩张强度对热岛效应的贡献最大，是影响热环境变化的关键指标。</w:t>
      </w:r>
    </w:p>
    <w:p w14:paraId="026FA3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2.4.3 空间耦合关系</w:t>
      </w:r>
    </w:p>
    <w:p w14:paraId="30E5DC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二者存在</w:t>
      </w:r>
      <w:r>
        <w:rPr>
          <w:rStyle w:val="7"/>
          <w:rFonts w:ascii="宋体" w:hAnsi="宋体" w:eastAsia="宋体" w:cs="宋体"/>
          <w:b/>
          <w:bCs/>
          <w:color w:val="000000"/>
          <w:kern w:val="0"/>
          <w:sz w:val="24"/>
          <w:szCs w:val="24"/>
          <w:bdr w:val="none" w:color="auto" w:sz="0" w:space="0"/>
          <w:lang w:val="en-US" w:eastAsia="zh-CN" w:bidi="ar"/>
        </w:rPr>
        <w:t>高度的空间匹配性</w:t>
      </w:r>
      <w:r>
        <w:rPr>
          <w:rFonts w:ascii="宋体" w:hAnsi="宋体" w:eastAsia="宋体" w:cs="宋体"/>
          <w:color w:val="000000"/>
          <w:kern w:val="0"/>
          <w:sz w:val="24"/>
          <w:szCs w:val="24"/>
          <w:bdr w:val="none" w:color="auto" w:sz="0" w:space="0"/>
          <w:lang w:val="en-US" w:eastAsia="zh-CN" w:bidi="ar"/>
        </w:rPr>
        <w:t>，空间叠加分析显示：城市扩张核心区域（铜山区东部、云龙区南部）与地表温度升高最快、热岛强度最大的区域空间匹配度达 87% 以上；中心城区建设用地密集区始终为热岛核心区，沿交通干线的扩张轴带形成次高温区，与城市 “集聚式 + 轴带式” 扩张模式相呼应；水体、林地等自然地表保护区域始终为低温区，与城市扩张区域形成鲜明的温度对比，成为缓解热岛效应的重要生态节点。</w:t>
      </w:r>
    </w:p>
    <w:p w14:paraId="492D26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2.4.4 土地利用转型温度效应</w:t>
      </w:r>
    </w:p>
    <w:p w14:paraId="4DF2E2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自然地表向建设用地的转型是地表温度升高的</w:t>
      </w:r>
      <w:r>
        <w:rPr>
          <w:rStyle w:val="7"/>
          <w:rFonts w:ascii="宋体" w:hAnsi="宋体" w:eastAsia="宋体" w:cs="宋体"/>
          <w:b/>
          <w:bCs/>
          <w:color w:val="000000"/>
          <w:kern w:val="0"/>
          <w:sz w:val="24"/>
          <w:szCs w:val="24"/>
          <w:bdr w:val="none" w:color="auto" w:sz="0" w:space="0"/>
          <w:lang w:val="en-US" w:eastAsia="zh-CN" w:bidi="ar"/>
        </w:rPr>
        <w:t>直接原因</w:t>
      </w:r>
      <w:r>
        <w:rPr>
          <w:rFonts w:ascii="宋体" w:hAnsi="宋体" w:eastAsia="宋体" w:cs="宋体"/>
          <w:color w:val="000000"/>
          <w:kern w:val="0"/>
          <w:sz w:val="24"/>
          <w:szCs w:val="24"/>
          <w:bdr w:val="none" w:color="auto" w:sz="0" w:space="0"/>
          <w:lang w:val="en-US" w:eastAsia="zh-CN" w:bidi="ar"/>
        </w:rPr>
        <w:t>，不同转型类型的温度效应差异显著：</w:t>
      </w:r>
    </w:p>
    <w:p w14:paraId="47819473">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耕地转建设用地：地表温度平均升高 2.9-3.6℃，占新增建设用地面积的 75.3%，是对热环境影响最大的转型类型；</w:t>
      </w:r>
    </w:p>
    <w:p w14:paraId="6BEF2957">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林地转建设用地：地表温度平均升高 3.6-4.3℃，林地降温效应最强，转型后温度升高幅度最大；</w:t>
      </w:r>
    </w:p>
    <w:p w14:paraId="7DC77D91">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水体转建设用地：地表温度平均升高 4.3-5.1℃，水体温度调节能力最优，占用水体将导致区域温度显著升高。</w:t>
      </w:r>
    </w:p>
    <w:p w14:paraId="23F35F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2.4.5 耦合驱动机制</w:t>
      </w:r>
    </w:p>
    <w:p w14:paraId="202A4A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综合自然与人文因素，揭示了二者耦合的</w:t>
      </w:r>
      <w:r>
        <w:rPr>
          <w:rStyle w:val="7"/>
          <w:rFonts w:ascii="宋体" w:hAnsi="宋体" w:eastAsia="宋体" w:cs="宋体"/>
          <w:b/>
          <w:bCs/>
          <w:color w:val="000000"/>
          <w:kern w:val="0"/>
          <w:sz w:val="24"/>
          <w:szCs w:val="24"/>
          <w:bdr w:val="none" w:color="auto" w:sz="0" w:space="0"/>
          <w:lang w:val="en-US" w:eastAsia="zh-CN" w:bidi="ar"/>
        </w:rPr>
        <w:t>四层驱动机制</w:t>
      </w:r>
      <w:r>
        <w:rPr>
          <w:rFonts w:ascii="宋体" w:hAnsi="宋体" w:eastAsia="宋体" w:cs="宋体"/>
          <w:color w:val="000000"/>
          <w:kern w:val="0"/>
          <w:sz w:val="24"/>
          <w:szCs w:val="24"/>
          <w:bdr w:val="none" w:color="auto" w:sz="0" w:space="0"/>
          <w:lang w:val="en-US" w:eastAsia="zh-CN" w:bidi="ar"/>
        </w:rPr>
        <w:t>：</w:t>
      </w:r>
    </w:p>
    <w:p w14:paraId="146905C0">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下垫面性质改变：建设用地替代自然地表，导致热容量、反照率、粗糙度变化，吸热快、散热慢，地表温度升高；</w:t>
      </w:r>
    </w:p>
    <w:p w14:paraId="13D0AB61">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景观格局变化：建设用地聚集度提高，热量集聚加剧热岛；自然地表破碎化，降温、调温功能被削弱；</w:t>
      </w:r>
    </w:p>
    <w:p w14:paraId="6A64CB0B">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人口与经济增长：人口增长推动住房、交通需求，经济增长带动工业发展，能源消耗增加，人为热排放加剧热环境恶化；</w:t>
      </w:r>
    </w:p>
    <w:p w14:paraId="1281C6E7">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政策因素：长三角一体化、淮海经济区建设等战略及城市规划政策，推动城市扩张模式与空间格局形成，间接影响热环境空间分布。</w:t>
      </w:r>
    </w:p>
    <w:p w14:paraId="50AAF6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2.5 城市扩张优化与热环境调控策略提出</w:t>
      </w:r>
    </w:p>
    <w:p w14:paraId="34460D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结合徐州</w:t>
      </w:r>
      <w:r>
        <w:rPr>
          <w:rStyle w:val="7"/>
          <w:rFonts w:ascii="宋体" w:hAnsi="宋体" w:eastAsia="宋体" w:cs="宋体"/>
          <w:b/>
          <w:bCs/>
          <w:color w:val="000000"/>
          <w:kern w:val="0"/>
          <w:sz w:val="24"/>
          <w:szCs w:val="24"/>
          <w:bdr w:val="none" w:color="auto" w:sz="0" w:space="0"/>
          <w:lang w:val="en-US" w:eastAsia="zh-CN" w:bidi="ar"/>
        </w:rPr>
        <w:t>资源型转型城市</w:t>
      </w:r>
      <w:r>
        <w:rPr>
          <w:rFonts w:ascii="宋体" w:hAnsi="宋体" w:eastAsia="宋体" w:cs="宋体"/>
          <w:color w:val="000000"/>
          <w:kern w:val="0"/>
          <w:sz w:val="24"/>
          <w:szCs w:val="24"/>
          <w:bdr w:val="none" w:color="auto" w:sz="0" w:space="0"/>
          <w:lang w:val="en-US" w:eastAsia="zh-CN" w:bidi="ar"/>
        </w:rPr>
        <w:t>的发展特点、城市扩张与热环境耦合关系研究结果，从</w:t>
      </w:r>
      <w:r>
        <w:rPr>
          <w:rStyle w:val="7"/>
          <w:rFonts w:ascii="宋体" w:hAnsi="宋体" w:eastAsia="宋体" w:cs="宋体"/>
          <w:b/>
          <w:bCs/>
          <w:color w:val="000000"/>
          <w:kern w:val="0"/>
          <w:sz w:val="24"/>
          <w:szCs w:val="24"/>
          <w:bdr w:val="none" w:color="auto" w:sz="0" w:space="0"/>
          <w:lang w:val="en-US" w:eastAsia="zh-CN" w:bidi="ar"/>
        </w:rPr>
        <w:t>土地利用规划、生态空间保护、城市景观优化、产业布局调整、管控机制建设</w:t>
      </w:r>
      <w:r>
        <w:rPr>
          <w:rFonts w:ascii="宋体" w:hAnsi="宋体" w:eastAsia="宋体" w:cs="宋体"/>
          <w:color w:val="000000"/>
          <w:kern w:val="0"/>
          <w:sz w:val="24"/>
          <w:szCs w:val="24"/>
          <w:bdr w:val="none" w:color="auto" w:sz="0" w:space="0"/>
          <w:lang w:val="en-US" w:eastAsia="zh-CN" w:bidi="ar"/>
        </w:rPr>
        <w:t>五个方面，提出针对性强、可操作的优化与调控策略，兼顾城市发展与热环境治理，实现二者协调发展：</w:t>
      </w:r>
    </w:p>
    <w:p w14:paraId="5A4CEB38">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优化土地利用规划，严控建设用地外延扩张，推行 “内部填充式” 发展，提高土地利用效率，减少对耕地、林地的占用；</w:t>
      </w:r>
    </w:p>
    <w:p w14:paraId="2AA1DBCD">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强化生态空间保护，划定水体、林地等生态保护红线，构建 “河湖 + 林地” 的生态降温网络，保护热环境调节节点；</w:t>
      </w:r>
    </w:p>
    <w:p w14:paraId="2A4E6651">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优化城市景观格局，增加城市绿地、口袋公园，提升植被覆盖度，构建城市通风廊道，促进热量扩散；</w:t>
      </w:r>
    </w:p>
    <w:p w14:paraId="3A0DACBF">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调整产业布局，推动重工业向绿色低碳转型，优化工业集聚区空间布局，减少人为热排放，降低工业区域热岛效应；</w:t>
      </w:r>
    </w:p>
    <w:p w14:paraId="5B16B8AF">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建立热环境管控长效机制，将热环境指标纳入城市规划考核体系，利用遥感技术开展热环境动态监测，及时预警并治理热环境问题。</w:t>
      </w:r>
    </w:p>
    <w:p w14:paraId="068E9F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2.6 研究成果可视化与报告撰写</w:t>
      </w:r>
    </w:p>
    <w:p w14:paraId="71BEE012">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成果可视化</w:t>
      </w:r>
      <w:r>
        <w:rPr>
          <w:color w:val="000000"/>
          <w:sz w:val="24"/>
          <w:szCs w:val="24"/>
          <w:bdr w:val="none" w:color="auto" w:sz="0" w:space="0"/>
        </w:rPr>
        <w:t>：利用 ArcGIS 制作徐州四期土地利用分类图、城市扩张空间分布图、地表温度空间分布图、热岛强度分布图、耦合关系空间叠加图等系列专题图；利用 Origin、Excel 制作城市扩张指标、热环境指标时间变化曲线、相关性分析图、回归分析图等统计图表，直观展示研究结果；</w:t>
      </w:r>
    </w:p>
    <w:p w14:paraId="66596684">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报告撰写</w:t>
      </w:r>
      <w:r>
        <w:rPr>
          <w:color w:val="000000"/>
          <w:sz w:val="24"/>
          <w:szCs w:val="24"/>
          <w:bdr w:val="none" w:color="auto" w:sz="0" w:space="0"/>
        </w:rPr>
        <w:t>：系统整理研究数据、分析过程、研究结论，完成《基于遥感影像的徐州城市扩张与热环境变化关系研究 - 设计说明书》撰写；结合项目完成情况、工作进展，撰写本结题报告；提炼研究核心内容，制作结题答辩 PPT，形成完整的研究成果体系。</w:t>
      </w:r>
    </w:p>
    <w:p w14:paraId="7DC820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三、项目设计取得的成果</w:t>
      </w:r>
    </w:p>
    <w:p w14:paraId="78657594">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构建了徐州市 2004-2024 年四期标准化的遥感影像数据集与土地利用 / 土地覆被数据库，土地利用分类精度≥88%、地表温度反演误差≤1.8℃，为徐州城市生态环境研究提供了基础数据支撑；</w:t>
      </w:r>
    </w:p>
    <w:p w14:paraId="63D9136F">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系统揭示了徐州近 20 年城市扩张的时空特征与热环境演变规律，明确了城市扩张 “低速 - 中速 - 高速” 的时间阶段与 “东扩南进、外延 + 轴带” 的空间格局，以及热环境 “持续恶化、热岛升级、空间异质性提升” 的演变特征；</w:t>
      </w:r>
    </w:p>
    <w:p w14:paraId="39DAAD1C">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定量揭示了徐州城市扩张与热环境变化的耦合关系，证实二者存在极显著的正相关与高度的空间匹配性，明确了城市扩张强度是影响热岛效应的关键指标，揭示了 “下垫面 - 景观格局 - 人口经济 - 政策” 的四层耦合驱动机制；</w:t>
      </w:r>
    </w:p>
    <w:p w14:paraId="02B5FA79">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结合徐州资源型转型城市发展特点，提出了 “土地利用 + 生态保护 + 景观优化 + 产业调整 + 管控机制” 五位一体的城市扩张优化与热环境调控策略，为徐州城市规划优化、生态城市建设及淮海经济区同类城市发展提供了科学的实践参考；</w:t>
      </w:r>
    </w:p>
    <w:p w14:paraId="4AF0E8AC">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形成了完整的研究成果体系，包括项目设计说明书 1 份、结题报告 1 份、结题答辩 PPT1 套，系列专题图与统计图表若干，为后续相关研究提供了方法参考与成果借鉴。</w:t>
      </w:r>
    </w:p>
    <w:p w14:paraId="688606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四、项目设计存在的问题</w:t>
      </w:r>
    </w:p>
    <w:p w14:paraId="36C57B54">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遥感数据分辨率有限</w:t>
      </w:r>
      <w:r>
        <w:rPr>
          <w:color w:val="000000"/>
          <w:sz w:val="24"/>
          <w:szCs w:val="24"/>
          <w:bdr w:val="none" w:color="auto" w:sz="0" w:space="0"/>
        </w:rPr>
        <w:t>：本研究采用 30m 分辨率的 Landsat 影像，对城市内部小尺度地物（如小型绿地、街头公园）的识别精度不足，无法更精细地分析城市内部景观格局对热环境的影响；</w:t>
      </w:r>
    </w:p>
    <w:p w14:paraId="592E5C32">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驱动因素分析深度不足</w:t>
      </w:r>
      <w:r>
        <w:rPr>
          <w:color w:val="000000"/>
          <w:sz w:val="24"/>
          <w:szCs w:val="24"/>
          <w:bdr w:val="none" w:color="auto" w:sz="0" w:space="0"/>
        </w:rPr>
        <w:t>：本研究虽综合了自然与人文因素分析耦合驱动机制，但对政策、人口、经济等人文因素的量化分析不足，未构建多因素耦合的综合驱动模型，对驱动机制的揭示仍需进一步深化；</w:t>
      </w:r>
    </w:p>
    <w:p w14:paraId="39290CA3">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实验验证与预测分析缺失</w:t>
      </w:r>
      <w:r>
        <w:rPr>
          <w:color w:val="000000"/>
          <w:sz w:val="24"/>
          <w:szCs w:val="24"/>
          <w:bdr w:val="none" w:color="auto" w:sz="0" w:space="0"/>
        </w:rPr>
        <w:t>：本研究仅开展了现状与历史演变分析，未结合实地监测数据开展更充分的实验验证，也未构建预测模型对徐州未来城市扩张与热环境变化趋势进行预测，研究成果的前瞻性与应用延伸性有待提升；</w:t>
      </w:r>
    </w:p>
    <w:p w14:paraId="5DB2B19E">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研究尺度有待拓展</w:t>
      </w:r>
      <w:r>
        <w:rPr>
          <w:color w:val="000000"/>
          <w:sz w:val="24"/>
          <w:szCs w:val="24"/>
          <w:bdr w:val="none" w:color="auto" w:sz="0" w:space="0"/>
        </w:rPr>
        <w:t>：本研究聚焦徐州市主城区及周边重点区域，未将徐州下辖县市纳入研究范围，无法反映徐州市全域城市扩张与热环境变化的特征，研究尺度的全面性不足。</w:t>
      </w:r>
    </w:p>
    <w:p w14:paraId="225746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五、后续研究展望</w:t>
      </w:r>
    </w:p>
    <w:p w14:paraId="0E2032B2">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提升数据分辨率</w:t>
      </w:r>
      <w:r>
        <w:rPr>
          <w:color w:val="000000"/>
          <w:sz w:val="24"/>
          <w:szCs w:val="24"/>
          <w:bdr w:val="none" w:color="auto" w:sz="0" w:space="0"/>
        </w:rPr>
        <w:t>：引入高分辨率（如 2m 以内）的 Sentinel-2、高分系列遥感影像，结合无人机航拍数据，开展城市小尺度景观格局与热环境关系研究，提高研究的精细度；</w:t>
      </w:r>
    </w:p>
    <w:p w14:paraId="551C65C4">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深化驱动机制分析</w:t>
      </w:r>
      <w:r>
        <w:rPr>
          <w:color w:val="000000"/>
          <w:sz w:val="24"/>
          <w:szCs w:val="24"/>
          <w:bdr w:val="none" w:color="auto" w:sz="0" w:space="0"/>
        </w:rPr>
        <w:t>：收集更详实的人口、经济、政策等数据，采用地理加权回归、结构方程模型等方法，构建多因素综合驱动模型，实现对人文因素的量化分析，更深入揭示耦合驱动机制；</w:t>
      </w:r>
    </w:p>
    <w:p w14:paraId="2B14E52B">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开展预测与模拟分析</w:t>
      </w:r>
      <w:r>
        <w:rPr>
          <w:color w:val="000000"/>
          <w:sz w:val="24"/>
          <w:szCs w:val="24"/>
          <w:bdr w:val="none" w:color="auto" w:sz="0" w:space="0"/>
        </w:rPr>
        <w:t>：结合徐州城市规划文件，采用 CA-Markov、PLUS 等模型，模拟不同规划情景下徐州未来城市扩张趋势，预测热环境变化，提出针对性的前置调控策略，提升研究成果的前瞻性；</w:t>
      </w:r>
    </w:p>
    <w:p w14:paraId="54322000">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拓展研究尺度</w:t>
      </w:r>
      <w:r>
        <w:rPr>
          <w:color w:val="000000"/>
          <w:sz w:val="24"/>
          <w:szCs w:val="24"/>
          <w:bdr w:val="none" w:color="auto" w:sz="0" w:space="0"/>
        </w:rPr>
        <w:t>：将研究范围拓展至徐州市全域，分析主城区与下辖县市的城市扩张、热环境变化的空间差异与相互影响，为徐州市全域统筹发展与热环境综合治理提供依据；</w:t>
      </w:r>
    </w:p>
    <w:p w14:paraId="5ED7E0DF">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开展跨区域对比研究</w:t>
      </w:r>
      <w:r>
        <w:rPr>
          <w:color w:val="000000"/>
          <w:sz w:val="24"/>
          <w:szCs w:val="24"/>
          <w:bdr w:val="none" w:color="auto" w:sz="0" w:space="0"/>
        </w:rPr>
        <w:t>：选取淮海经济区同类资源型转型城市（如枣庄、淮北），开展跨区域对比研究，总结资源型转型城市城市扩张与热环境变化的共性特征与差异化规律，为淮海经济区城市协同发展与生态环境共治提供参考。</w:t>
      </w:r>
    </w:p>
    <w:p w14:paraId="1B465C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地表温度反演方法</w:t>
      </w:r>
    </w:p>
    <w:p w14:paraId="104DBC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本研究采用</w:t>
      </w:r>
      <w:r>
        <w:rPr>
          <w:rStyle w:val="7"/>
          <w:rFonts w:ascii="宋体" w:hAnsi="宋体" w:eastAsia="宋体" w:cs="宋体"/>
          <w:b/>
          <w:bCs/>
          <w:color w:val="000000"/>
          <w:kern w:val="0"/>
          <w:sz w:val="24"/>
          <w:szCs w:val="24"/>
          <w:bdr w:val="none" w:color="auto" w:sz="0" w:space="0"/>
          <w:lang w:val="en-US" w:eastAsia="zh-CN" w:bidi="ar"/>
        </w:rPr>
        <w:t>单窗算法</w:t>
      </w:r>
      <w:r>
        <w:rPr>
          <w:rFonts w:ascii="宋体" w:hAnsi="宋体" w:eastAsia="宋体" w:cs="宋体"/>
          <w:color w:val="000000"/>
          <w:kern w:val="0"/>
          <w:sz w:val="24"/>
          <w:szCs w:val="24"/>
          <w:bdr w:val="none" w:color="auto" w:sz="0" w:space="0"/>
          <w:lang w:val="en-US" w:eastAsia="zh-CN" w:bidi="ar"/>
        </w:rPr>
        <w:t>反演徐州市的地表温度，该算法由覃志豪等提出，适用于 Landsat TM/ETM+/OLI 影像的地表温度反演，具有物理意义明确、操作简便、反演精度高的优点，具体步骤如下：</w:t>
      </w:r>
    </w:p>
    <w:p w14:paraId="46918DFF">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辐射亮度温度计算</w:t>
      </w:r>
      <w:r>
        <w:rPr>
          <w:color w:val="000000"/>
          <w:sz w:val="24"/>
          <w:szCs w:val="24"/>
          <w:bdr w:val="none" w:color="auto" w:sz="0" w:space="0"/>
        </w:rPr>
        <w:t>：将辐射定标后的辐射亮度值转换为辐射亮度温度，计算公式：</w:t>
      </w:r>
      <w:r>
        <w:rPr>
          <w:color w:val="000000"/>
          <w:sz w:val="29"/>
          <w:szCs w:val="29"/>
          <w:bdr w:val="none" w:color="auto" w:sz="0" w:space="0"/>
        </w:rPr>
        <w:t>Tsensor​=ln(Lλ​K1​​+1)K2​​</w:t>
      </w:r>
      <w:r>
        <w:rPr>
          <w:color w:val="000000"/>
          <w:sz w:val="24"/>
          <w:szCs w:val="24"/>
          <w:bdr w:val="none" w:color="auto" w:sz="0" w:space="0"/>
        </w:rPr>
        <w:t>其中，</w:t>
      </w:r>
      <w:r>
        <w:rPr>
          <w:color w:val="000000"/>
          <w:sz w:val="29"/>
          <w:szCs w:val="29"/>
          <w:bdr w:val="none" w:color="auto" w:sz="0" w:space="0"/>
        </w:rPr>
        <w:t>Tsensor​</w:t>
      </w:r>
      <w:r>
        <w:rPr>
          <w:color w:val="000000"/>
          <w:sz w:val="24"/>
          <w:szCs w:val="24"/>
          <w:bdr w:val="none" w:color="auto" w:sz="0" w:space="0"/>
        </w:rPr>
        <w:t>为辐射亮度温度（K），</w:t>
      </w:r>
      <w:r>
        <w:rPr>
          <w:color w:val="000000"/>
          <w:sz w:val="29"/>
          <w:szCs w:val="29"/>
          <w:bdr w:val="none" w:color="auto" w:sz="0" w:space="0"/>
        </w:rPr>
        <w:t>Lλ​</w:t>
      </w:r>
      <w:r>
        <w:rPr>
          <w:color w:val="000000"/>
          <w:sz w:val="24"/>
          <w:szCs w:val="24"/>
          <w:bdr w:val="none" w:color="auto" w:sz="0" w:space="0"/>
        </w:rPr>
        <w:t>为辐射亮度值（W/(m²・sr・μm)），</w:t>
      </w:r>
      <w:r>
        <w:rPr>
          <w:color w:val="000000"/>
          <w:sz w:val="29"/>
          <w:szCs w:val="29"/>
          <w:bdr w:val="none" w:color="auto" w:sz="0" w:space="0"/>
        </w:rPr>
        <w:t>K1​</w:t>
      </w:r>
      <w:r>
        <w:rPr>
          <w:color w:val="000000"/>
          <w:sz w:val="24"/>
          <w:szCs w:val="24"/>
          <w:bdr w:val="none" w:color="auto" w:sz="0" w:space="0"/>
        </w:rPr>
        <w:t>、</w:t>
      </w:r>
      <w:r>
        <w:rPr>
          <w:color w:val="000000"/>
          <w:sz w:val="29"/>
          <w:szCs w:val="29"/>
          <w:bdr w:val="none" w:color="auto" w:sz="0" w:space="0"/>
        </w:rPr>
        <w:t>K2​</w:t>
      </w:r>
      <w:r>
        <w:rPr>
          <w:color w:val="000000"/>
          <w:sz w:val="24"/>
          <w:szCs w:val="24"/>
          <w:bdr w:val="none" w:color="auto" w:sz="0" w:space="0"/>
        </w:rPr>
        <w:t>为传感器定标常数，Landsat TM 的</w:t>
      </w:r>
      <w:r>
        <w:rPr>
          <w:color w:val="000000"/>
          <w:sz w:val="29"/>
          <w:szCs w:val="29"/>
          <w:bdr w:val="none" w:color="auto" w:sz="0" w:space="0"/>
        </w:rPr>
        <w:t>K1​=607.76</w:t>
      </w:r>
      <w:r>
        <w:rPr>
          <w:color w:val="000000"/>
          <w:sz w:val="24"/>
          <w:szCs w:val="24"/>
          <w:bdr w:val="none" w:color="auto" w:sz="0" w:space="0"/>
        </w:rPr>
        <w:t>、</w:t>
      </w:r>
      <w:r>
        <w:rPr>
          <w:color w:val="000000"/>
          <w:sz w:val="29"/>
          <w:szCs w:val="29"/>
          <w:bdr w:val="none" w:color="auto" w:sz="0" w:space="0"/>
        </w:rPr>
        <w:t>K2​=1260.56</w:t>
      </w:r>
      <w:r>
        <w:rPr>
          <w:color w:val="000000"/>
          <w:sz w:val="24"/>
          <w:szCs w:val="24"/>
          <w:bdr w:val="none" w:color="auto" w:sz="0" w:space="0"/>
        </w:rPr>
        <w:t>，Landsat ETM + 的</w:t>
      </w:r>
      <w:r>
        <w:rPr>
          <w:color w:val="000000"/>
          <w:sz w:val="29"/>
          <w:szCs w:val="29"/>
          <w:bdr w:val="none" w:color="auto" w:sz="0" w:space="0"/>
        </w:rPr>
        <w:t>K1​=666.09</w:t>
      </w:r>
      <w:r>
        <w:rPr>
          <w:color w:val="000000"/>
          <w:sz w:val="24"/>
          <w:szCs w:val="24"/>
          <w:bdr w:val="none" w:color="auto" w:sz="0" w:space="0"/>
        </w:rPr>
        <w:t>、</w:t>
      </w:r>
      <w:r>
        <w:rPr>
          <w:color w:val="000000"/>
          <w:sz w:val="29"/>
          <w:szCs w:val="29"/>
          <w:bdr w:val="none" w:color="auto" w:sz="0" w:space="0"/>
        </w:rPr>
        <w:t>K2​=1282.71</w:t>
      </w:r>
      <w:r>
        <w:rPr>
          <w:color w:val="000000"/>
          <w:sz w:val="24"/>
          <w:szCs w:val="24"/>
          <w:bdr w:val="none" w:color="auto" w:sz="0" w:space="0"/>
        </w:rPr>
        <w:t>，Landsat OLI 的</w:t>
      </w:r>
      <w:r>
        <w:rPr>
          <w:color w:val="000000"/>
          <w:sz w:val="29"/>
          <w:szCs w:val="29"/>
          <w:bdr w:val="none" w:color="auto" w:sz="0" w:space="0"/>
        </w:rPr>
        <w:t>K1​=774.89</w:t>
      </w:r>
      <w:r>
        <w:rPr>
          <w:color w:val="000000"/>
          <w:sz w:val="24"/>
          <w:szCs w:val="24"/>
          <w:bdr w:val="none" w:color="auto" w:sz="0" w:space="0"/>
        </w:rPr>
        <w:t>、</w:t>
      </w:r>
      <w:r>
        <w:rPr>
          <w:color w:val="000000"/>
          <w:sz w:val="29"/>
          <w:szCs w:val="29"/>
          <w:bdr w:val="none" w:color="auto" w:sz="0" w:space="0"/>
        </w:rPr>
        <w:t>K2​=1321.08</w:t>
      </w:r>
      <w:r>
        <w:rPr>
          <w:color w:val="000000"/>
          <w:sz w:val="24"/>
          <w:szCs w:val="24"/>
          <w:bdr w:val="none" w:color="auto" w:sz="0" w:space="0"/>
        </w:rPr>
        <w:t>；</w:t>
      </w:r>
    </w:p>
    <w:p w14:paraId="0A8BA8D6">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大气参数获取</w:t>
      </w:r>
      <w:r>
        <w:rPr>
          <w:color w:val="000000"/>
          <w:sz w:val="24"/>
          <w:szCs w:val="24"/>
          <w:bdr w:val="none" w:color="auto" w:sz="0" w:space="0"/>
        </w:rPr>
        <w:t>：利用美国大气与海洋管理局（NOAA）的大气校正参数查询网站，输入研究区的中心经纬度、影像获取时间，获取大气平均温度</w:t>
      </w:r>
      <w:r>
        <w:rPr>
          <w:color w:val="000000"/>
          <w:sz w:val="29"/>
          <w:szCs w:val="29"/>
          <w:bdr w:val="none" w:color="auto" w:sz="0" w:space="0"/>
        </w:rPr>
        <w:t>Ta​</w:t>
      </w:r>
      <w:r>
        <w:rPr>
          <w:color w:val="000000"/>
          <w:sz w:val="24"/>
          <w:szCs w:val="24"/>
          <w:bdr w:val="none" w:color="auto" w:sz="0" w:space="0"/>
        </w:rPr>
        <w:t>和大气透过率</w:t>
      </w:r>
      <w:r>
        <w:rPr>
          <w:color w:val="000000"/>
          <w:sz w:val="29"/>
          <w:szCs w:val="29"/>
          <w:bdr w:val="none" w:color="auto" w:sz="0" w:space="0"/>
        </w:rPr>
        <w:t>τ</w:t>
      </w:r>
      <w:r>
        <w:rPr>
          <w:color w:val="000000"/>
          <w:sz w:val="24"/>
          <w:szCs w:val="24"/>
          <w:bdr w:val="none" w:color="auto" w:sz="0" w:space="0"/>
        </w:rPr>
        <w:t>；根据大气透过率计算大气校正参数</w:t>
      </w:r>
      <w:r>
        <w:rPr>
          <w:color w:val="000000"/>
          <w:sz w:val="29"/>
          <w:szCs w:val="29"/>
          <w:bdr w:val="none" w:color="auto" w:sz="0" w:space="0"/>
        </w:rPr>
        <w:t>C</w:t>
      </w:r>
      <w:r>
        <w:rPr>
          <w:color w:val="000000"/>
          <w:sz w:val="24"/>
          <w:szCs w:val="24"/>
          <w:bdr w:val="none" w:color="auto" w:sz="0" w:space="0"/>
        </w:rPr>
        <w:t>和</w:t>
      </w:r>
      <w:r>
        <w:rPr>
          <w:color w:val="000000"/>
          <w:sz w:val="29"/>
          <w:szCs w:val="29"/>
          <w:bdr w:val="none" w:color="auto" w:sz="0" w:space="0"/>
        </w:rPr>
        <w:t>D</w:t>
      </w:r>
      <w:r>
        <w:rPr>
          <w:color w:val="000000"/>
          <w:sz w:val="24"/>
          <w:szCs w:val="24"/>
          <w:bdr w:val="none" w:color="auto" w:sz="0" w:space="0"/>
        </w:rPr>
        <w:t>，计算公式：</w:t>
      </w:r>
      <w:r>
        <w:rPr>
          <w:color w:val="000000"/>
          <w:sz w:val="29"/>
          <w:szCs w:val="29"/>
          <w:bdr w:val="none" w:color="auto" w:sz="0" w:space="0"/>
        </w:rPr>
        <w:t>C=τ</w:t>
      </w:r>
      <w:r>
        <w:rPr>
          <w:color w:val="000000"/>
          <w:sz w:val="24"/>
          <w:szCs w:val="24"/>
          <w:bdr w:val="none" w:color="auto" w:sz="0" w:space="0"/>
        </w:rPr>
        <w:t>，</w:t>
      </w:r>
      <w:r>
        <w:rPr>
          <w:color w:val="000000"/>
          <w:sz w:val="29"/>
          <w:szCs w:val="29"/>
          <w:bdr w:val="none" w:color="auto" w:sz="0" w:space="0"/>
        </w:rPr>
        <w:t>D=(1−τ)(1+(1−ε)τ)</w:t>
      </w:r>
      <w:r>
        <w:rPr>
          <w:color w:val="000000"/>
          <w:sz w:val="24"/>
          <w:szCs w:val="24"/>
          <w:bdr w:val="none" w:color="auto" w:sz="0" w:space="0"/>
        </w:rPr>
        <w:t>，其中</w:t>
      </w:r>
      <w:r>
        <w:rPr>
          <w:color w:val="000000"/>
          <w:sz w:val="29"/>
          <w:szCs w:val="29"/>
          <w:bdr w:val="none" w:color="auto" w:sz="0" w:space="0"/>
        </w:rPr>
        <w:t>ε</w:t>
      </w:r>
      <w:r>
        <w:rPr>
          <w:color w:val="000000"/>
          <w:sz w:val="24"/>
          <w:szCs w:val="24"/>
          <w:bdr w:val="none" w:color="auto" w:sz="0" w:space="0"/>
        </w:rPr>
        <w:t>为地表发射率；</w:t>
      </w:r>
    </w:p>
    <w:p w14:paraId="60C66F20">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地表发射率计算</w:t>
      </w:r>
      <w:r>
        <w:rPr>
          <w:color w:val="000000"/>
          <w:sz w:val="24"/>
          <w:szCs w:val="24"/>
          <w:bdr w:val="none" w:color="auto" w:sz="0" w:space="0"/>
        </w:rPr>
        <w:t>：根据土地利用分类结果，采用分类型计算地表发射率，建设用地</w:t>
      </w:r>
      <w:r>
        <w:rPr>
          <w:color w:val="000000"/>
          <w:sz w:val="29"/>
          <w:szCs w:val="29"/>
          <w:bdr w:val="none" w:color="auto" w:sz="0" w:space="0"/>
        </w:rPr>
        <w:t>ε=0.92</w:t>
      </w:r>
      <w:r>
        <w:rPr>
          <w:color w:val="000000"/>
          <w:sz w:val="24"/>
          <w:szCs w:val="24"/>
          <w:bdr w:val="none" w:color="auto" w:sz="0" w:space="0"/>
        </w:rPr>
        <w:t>，耕地</w:t>
      </w:r>
      <w:r>
        <w:rPr>
          <w:color w:val="000000"/>
          <w:sz w:val="29"/>
          <w:szCs w:val="29"/>
          <w:bdr w:val="none" w:color="auto" w:sz="0" w:space="0"/>
        </w:rPr>
        <w:t>ε=0.93</w:t>
      </w:r>
      <w:r>
        <w:rPr>
          <w:color w:val="000000"/>
          <w:sz w:val="24"/>
          <w:szCs w:val="24"/>
          <w:bdr w:val="none" w:color="auto" w:sz="0" w:space="0"/>
        </w:rPr>
        <w:t>，林地</w:t>
      </w:r>
      <w:r>
        <w:rPr>
          <w:color w:val="000000"/>
          <w:sz w:val="29"/>
          <w:szCs w:val="29"/>
          <w:bdr w:val="none" w:color="auto" w:sz="0" w:space="0"/>
        </w:rPr>
        <w:t>ε=0.95</w:t>
      </w:r>
      <w:r>
        <w:rPr>
          <w:color w:val="000000"/>
          <w:sz w:val="24"/>
          <w:szCs w:val="24"/>
          <w:bdr w:val="none" w:color="auto" w:sz="0" w:space="0"/>
        </w:rPr>
        <w:t>，水体</w:t>
      </w:r>
      <w:r>
        <w:rPr>
          <w:color w:val="000000"/>
          <w:sz w:val="29"/>
          <w:szCs w:val="29"/>
          <w:bdr w:val="none" w:color="auto" w:sz="0" w:space="0"/>
        </w:rPr>
        <w:t>ε=0.97</w:t>
      </w:r>
      <w:r>
        <w:rPr>
          <w:color w:val="000000"/>
          <w:sz w:val="24"/>
          <w:szCs w:val="24"/>
          <w:bdr w:val="none" w:color="auto" w:sz="0" w:space="0"/>
        </w:rPr>
        <w:t>，未利用地</w:t>
      </w:r>
      <w:r>
        <w:rPr>
          <w:color w:val="000000"/>
          <w:sz w:val="29"/>
          <w:szCs w:val="29"/>
          <w:bdr w:val="none" w:color="auto" w:sz="0" w:space="0"/>
        </w:rPr>
        <w:t>ε=0.91</w:t>
      </w:r>
      <w:r>
        <w:rPr>
          <w:color w:val="000000"/>
          <w:sz w:val="24"/>
          <w:szCs w:val="24"/>
          <w:bdr w:val="none" w:color="auto" w:sz="0" w:space="0"/>
        </w:rPr>
        <w:t>；</w:t>
      </w:r>
    </w:p>
    <w:p w14:paraId="7BFB6FCC">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地表温度反演</w:t>
      </w:r>
      <w:r>
        <w:rPr>
          <w:color w:val="000000"/>
          <w:sz w:val="24"/>
          <w:szCs w:val="24"/>
          <w:bdr w:val="none" w:color="auto" w:sz="0" w:space="0"/>
        </w:rPr>
        <w:t>：代入单窗算法公式，计算地表温度，并将开尔文温度转换为摄氏温度（℃）；</w:t>
      </w:r>
    </w:p>
    <w:p w14:paraId="0B466412">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精度验证</w:t>
      </w:r>
      <w:r>
        <w:rPr>
          <w:color w:val="000000"/>
          <w:sz w:val="24"/>
          <w:szCs w:val="24"/>
          <w:bdr w:val="none" w:color="auto" w:sz="0" w:space="0"/>
        </w:rPr>
        <w:t>：利用徐州市气象站的实测地表温度数据，对反演结果进行验证，计算反演值与实测值的均方根误差（RMSE），确保反演误差≤2℃。</w:t>
      </w:r>
    </w:p>
    <w:p w14:paraId="4F32C5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5.2 热环境评价指标体系</w:t>
      </w:r>
    </w:p>
    <w:p w14:paraId="19F163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为定量分析徐州热环境的时空演变规律，本研究构建了由</w:t>
      </w:r>
      <w:r>
        <w:rPr>
          <w:rStyle w:val="7"/>
          <w:rFonts w:ascii="宋体" w:hAnsi="宋体" w:eastAsia="宋体" w:cs="宋体"/>
          <w:b/>
          <w:bCs/>
          <w:color w:val="000000"/>
          <w:kern w:val="0"/>
          <w:sz w:val="24"/>
          <w:szCs w:val="24"/>
          <w:bdr w:val="none" w:color="auto" w:sz="0" w:space="0"/>
          <w:lang w:val="en-US" w:eastAsia="zh-CN" w:bidi="ar"/>
        </w:rPr>
        <w:t>温度指标、热岛指标、空间异质性指标</w:t>
      </w:r>
      <w:r>
        <w:rPr>
          <w:rFonts w:ascii="宋体" w:hAnsi="宋体" w:eastAsia="宋体" w:cs="宋体"/>
          <w:color w:val="000000"/>
          <w:kern w:val="0"/>
          <w:sz w:val="24"/>
          <w:szCs w:val="24"/>
          <w:bdr w:val="none" w:color="auto" w:sz="0" w:space="0"/>
          <w:lang w:val="en-US" w:eastAsia="zh-CN" w:bidi="ar"/>
        </w:rPr>
        <w:t>组成的热环境评价指标体系，具体如下：</w:t>
      </w:r>
    </w:p>
    <w:p w14:paraId="306EA53A">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温度指标</w:t>
      </w:r>
      <w:r>
        <w:rPr>
          <w:color w:val="000000"/>
          <w:sz w:val="24"/>
          <w:szCs w:val="24"/>
          <w:bdr w:val="none" w:color="auto" w:sz="0" w:space="0"/>
        </w:rPr>
        <w:t>：平均地表温度（</w:t>
      </w:r>
      <w:r>
        <w:rPr>
          <w:color w:val="000000"/>
          <w:sz w:val="29"/>
          <w:szCs w:val="29"/>
          <w:bdr w:val="none" w:color="auto" w:sz="0" w:space="0"/>
        </w:rPr>
        <w:t>Tavg​</w:t>
      </w:r>
      <w:r>
        <w:rPr>
          <w:color w:val="000000"/>
          <w:sz w:val="24"/>
          <w:szCs w:val="24"/>
          <w:bdr w:val="none" w:color="auto" w:sz="0" w:space="0"/>
        </w:rPr>
        <w:t>）、最高地表温度（</w:t>
      </w:r>
      <w:r>
        <w:rPr>
          <w:color w:val="000000"/>
          <w:sz w:val="29"/>
          <w:szCs w:val="29"/>
          <w:bdr w:val="none" w:color="auto" w:sz="0" w:space="0"/>
        </w:rPr>
        <w:t>Tmax​</w:t>
      </w:r>
      <w:r>
        <w:rPr>
          <w:color w:val="000000"/>
          <w:sz w:val="24"/>
          <w:szCs w:val="24"/>
          <w:bdr w:val="none" w:color="auto" w:sz="0" w:space="0"/>
        </w:rPr>
        <w:t>）、最低地表温度（</w:t>
      </w:r>
      <w:r>
        <w:rPr>
          <w:color w:val="000000"/>
          <w:sz w:val="29"/>
          <w:szCs w:val="29"/>
          <w:bdr w:val="none" w:color="auto" w:sz="0" w:space="0"/>
        </w:rPr>
        <w:t>Tmin​</w:t>
      </w:r>
      <w:r>
        <w:rPr>
          <w:color w:val="000000"/>
          <w:sz w:val="24"/>
          <w:szCs w:val="24"/>
          <w:bdr w:val="none" w:color="auto" w:sz="0" w:space="0"/>
        </w:rPr>
        <w:t>），反映研究区的整体温度水平；</w:t>
      </w:r>
    </w:p>
    <w:p w14:paraId="3DAF753A">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热岛指标</w:t>
      </w:r>
      <w:r>
        <w:rPr>
          <w:color w:val="000000"/>
          <w:sz w:val="24"/>
          <w:szCs w:val="24"/>
          <w:bdr w:val="none" w:color="auto" w:sz="0" w:space="0"/>
        </w:rPr>
        <w:t>：热岛强度指数（</w:t>
      </w:r>
      <w:r>
        <w:rPr>
          <w:color w:val="000000"/>
          <w:sz w:val="29"/>
          <w:szCs w:val="29"/>
          <w:bdr w:val="none" w:color="auto" w:sz="0" w:space="0"/>
        </w:rPr>
        <w:t>UHI</w:t>
      </w:r>
      <w:r>
        <w:rPr>
          <w:color w:val="000000"/>
          <w:sz w:val="24"/>
          <w:szCs w:val="24"/>
          <w:bdr w:val="none" w:color="auto" w:sz="0" w:space="0"/>
        </w:rPr>
        <w:t>），反映城市热岛效应的强弱，计算公式：</w:t>
      </w:r>
      <w:r>
        <w:rPr>
          <w:color w:val="000000"/>
          <w:sz w:val="29"/>
          <w:szCs w:val="29"/>
          <w:bdr w:val="none" w:color="auto" w:sz="0" w:space="0"/>
        </w:rPr>
        <w:t>UHI=Turban​−Trural​</w:t>
      </w:r>
      <w:r>
        <w:rPr>
          <w:color w:val="000000"/>
          <w:sz w:val="24"/>
          <w:szCs w:val="24"/>
          <w:bdr w:val="none" w:color="auto" w:sz="0" w:space="0"/>
        </w:rPr>
        <w:t>其中，</w:t>
      </w:r>
      <w:r>
        <w:rPr>
          <w:color w:val="000000"/>
          <w:sz w:val="29"/>
          <w:szCs w:val="29"/>
          <w:bdr w:val="none" w:color="auto" w:sz="0" w:space="0"/>
        </w:rPr>
        <w:t>Turban​</w:t>
      </w:r>
      <w:r>
        <w:rPr>
          <w:color w:val="000000"/>
          <w:sz w:val="24"/>
          <w:szCs w:val="24"/>
          <w:bdr w:val="none" w:color="auto" w:sz="0" w:space="0"/>
        </w:rPr>
        <w:t>为建设用地的平均地表温度，</w:t>
      </w:r>
      <w:r>
        <w:rPr>
          <w:color w:val="000000"/>
          <w:sz w:val="29"/>
          <w:szCs w:val="29"/>
          <w:bdr w:val="none" w:color="auto" w:sz="0" w:space="0"/>
        </w:rPr>
        <w:t>Trural​</w:t>
      </w:r>
      <w:r>
        <w:rPr>
          <w:color w:val="000000"/>
          <w:sz w:val="24"/>
          <w:szCs w:val="24"/>
          <w:bdr w:val="none" w:color="auto" w:sz="0" w:space="0"/>
        </w:rPr>
        <w:t>为郊区自然地表（耕地 + 林地 + 水体）的平均地表温度；根据热岛强度将热岛效应分为弱热岛（0＜UHI≤2℃）、中等热岛（2＜UHI≤4℃）、强热岛（UHI＞4℃）；</w:t>
      </w:r>
    </w:p>
    <w:p w14:paraId="466F012F">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空间异质性指标</w:t>
      </w:r>
      <w:r>
        <w:rPr>
          <w:color w:val="000000"/>
          <w:sz w:val="24"/>
          <w:szCs w:val="24"/>
          <w:bdr w:val="none" w:color="auto" w:sz="0" w:space="0"/>
        </w:rPr>
        <w:t>：温度标准差（</w:t>
      </w:r>
      <w:r>
        <w:rPr>
          <w:color w:val="000000"/>
          <w:sz w:val="29"/>
          <w:szCs w:val="29"/>
          <w:bdr w:val="none" w:color="auto" w:sz="0" w:space="0"/>
        </w:rPr>
        <w:t>SDT​</w:t>
      </w:r>
      <w:r>
        <w:rPr>
          <w:color w:val="000000"/>
          <w:sz w:val="24"/>
          <w:szCs w:val="24"/>
          <w:bdr w:val="none" w:color="auto" w:sz="0" w:space="0"/>
        </w:rPr>
        <w:t>），反映地表温度的空间变异程度，</w:t>
      </w:r>
      <w:r>
        <w:rPr>
          <w:color w:val="000000"/>
          <w:sz w:val="29"/>
          <w:szCs w:val="29"/>
          <w:bdr w:val="none" w:color="auto" w:sz="0" w:space="0"/>
        </w:rPr>
        <w:t>SDT​</w:t>
      </w:r>
      <w:r>
        <w:rPr>
          <w:color w:val="000000"/>
          <w:sz w:val="24"/>
          <w:szCs w:val="24"/>
          <w:bdr w:val="none" w:color="auto" w:sz="0" w:space="0"/>
        </w:rPr>
        <w:t>越大，热环境的空间异质性越显著。</w:t>
      </w:r>
    </w:p>
    <w:p w14:paraId="7E8DB9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5.3 热环境时空演变分析</w:t>
      </w:r>
    </w:p>
    <w:p w14:paraId="760B42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5.3.1 时间变化特征</w:t>
      </w:r>
    </w:p>
    <w:p w14:paraId="7A8FB9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利用上述指标，计算 2004、2010、2016、2024 年徐州的平均地表温度、热岛强度指数，分析其时间变化特征：</w:t>
      </w:r>
    </w:p>
    <w:p w14:paraId="341DE9A8">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平均地表温度</w:t>
      </w:r>
      <w:r>
        <w:rPr>
          <w:color w:val="000000"/>
          <w:sz w:val="24"/>
          <w:szCs w:val="24"/>
          <w:bdr w:val="none" w:color="auto" w:sz="0" w:space="0"/>
        </w:rPr>
        <w:t>：总体呈</w:t>
      </w:r>
      <w:r>
        <w:rPr>
          <w:rStyle w:val="7"/>
          <w:b/>
          <w:bCs/>
          <w:color w:val="000000"/>
          <w:sz w:val="24"/>
          <w:szCs w:val="24"/>
          <w:bdr w:val="none" w:color="auto" w:sz="0" w:space="0"/>
        </w:rPr>
        <w:t>持续上升</w:t>
      </w:r>
      <w:r>
        <w:rPr>
          <w:color w:val="000000"/>
          <w:sz w:val="24"/>
          <w:szCs w:val="24"/>
          <w:bdr w:val="none" w:color="auto" w:sz="0" w:space="0"/>
        </w:rPr>
        <w:t>趋势，2004 年平均地表温度约为 28.5℃，2024 年约为 31.2℃，20 年间上升了 2.7℃，其中 2016-2024 年上升幅度最大，与城市高速扩张时期相吻合；</w:t>
      </w:r>
    </w:p>
    <w:p w14:paraId="478EDD2A">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热岛强度指数</w:t>
      </w:r>
      <w:r>
        <w:rPr>
          <w:color w:val="000000"/>
          <w:sz w:val="24"/>
          <w:szCs w:val="24"/>
          <w:bdr w:val="none" w:color="auto" w:sz="0" w:space="0"/>
        </w:rPr>
        <w:t>：呈</w:t>
      </w:r>
      <w:r>
        <w:rPr>
          <w:rStyle w:val="7"/>
          <w:b/>
          <w:bCs/>
          <w:color w:val="000000"/>
          <w:sz w:val="24"/>
          <w:szCs w:val="24"/>
          <w:bdr w:val="none" w:color="auto" w:sz="0" w:space="0"/>
        </w:rPr>
        <w:t>快速增长</w:t>
      </w:r>
      <w:r>
        <w:rPr>
          <w:color w:val="000000"/>
          <w:sz w:val="24"/>
          <w:szCs w:val="24"/>
          <w:bdr w:val="none" w:color="auto" w:sz="0" w:space="0"/>
        </w:rPr>
        <w:t>趋势，2004 年为 1.8℃，属于弱热岛；2010 年为 2.5℃，进入中等热岛；2016 年为 3.6℃，中等热岛加剧；2024 年为 4.5℃，进入强热岛阶段，表明徐州城市热岛效应日益凸显；</w:t>
      </w:r>
    </w:p>
    <w:p w14:paraId="5D010BCB">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温度标准差</w:t>
      </w:r>
      <w:r>
        <w:rPr>
          <w:color w:val="000000"/>
          <w:sz w:val="24"/>
          <w:szCs w:val="24"/>
          <w:bdr w:val="none" w:color="auto" w:sz="0" w:space="0"/>
        </w:rPr>
        <w:t>：持续增大，表明徐州地表温度的空间变异程度不断提高，热环境的空间异质性日益显著。</w:t>
      </w:r>
    </w:p>
    <w:p w14:paraId="0559EC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5.3.2 空间变化特征</w:t>
      </w:r>
    </w:p>
    <w:p w14:paraId="4F7937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利用 ArcGIS 软件，对地表温度进行分级处理（分为低温区、次低温区、中温区、次高温区、高温区），制作不同时期的地表温度空间分布图，分析其空间变化特征：</w:t>
      </w:r>
    </w:p>
    <w:p w14:paraId="1F8ED65F">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高温区分布</w:t>
      </w:r>
      <w:r>
        <w:rPr>
          <w:color w:val="000000"/>
          <w:sz w:val="24"/>
          <w:szCs w:val="24"/>
          <w:bdr w:val="none" w:color="auto" w:sz="0" w:space="0"/>
        </w:rPr>
        <w:t>：高温区主要分布在</w:t>
      </w:r>
      <w:r>
        <w:rPr>
          <w:rStyle w:val="7"/>
          <w:b/>
          <w:bCs/>
          <w:color w:val="000000"/>
          <w:sz w:val="24"/>
          <w:szCs w:val="24"/>
          <w:bdr w:val="none" w:color="auto" w:sz="0" w:space="0"/>
        </w:rPr>
        <w:t>中心城区的建设用地密集区域</w:t>
      </w:r>
      <w:r>
        <w:rPr>
          <w:color w:val="000000"/>
          <w:sz w:val="24"/>
          <w:szCs w:val="24"/>
          <w:bdr w:val="none" w:color="auto" w:sz="0" w:space="0"/>
        </w:rPr>
        <w:t>，如鼓楼区、云龙区的核心区域，以及铜山区的工业集聚区；2004-2024 年，高温区的面积持续扩大，且从中心城区向周边扩张，与城市建设用地的扩张方向基本一致；</w:t>
      </w:r>
    </w:p>
    <w:p w14:paraId="1FC4D369">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低温区分布</w:t>
      </w:r>
      <w:r>
        <w:rPr>
          <w:color w:val="000000"/>
          <w:sz w:val="24"/>
          <w:szCs w:val="24"/>
          <w:bdr w:val="none" w:color="auto" w:sz="0" w:space="0"/>
        </w:rPr>
        <w:t>：低温区主要分布在</w:t>
      </w:r>
      <w:r>
        <w:rPr>
          <w:rStyle w:val="7"/>
          <w:b/>
          <w:bCs/>
          <w:color w:val="000000"/>
          <w:sz w:val="24"/>
          <w:szCs w:val="24"/>
          <w:bdr w:val="none" w:color="auto" w:sz="0" w:space="0"/>
        </w:rPr>
        <w:t>水体、林地等自然地表区域</w:t>
      </w:r>
      <w:r>
        <w:rPr>
          <w:color w:val="000000"/>
          <w:sz w:val="24"/>
          <w:szCs w:val="24"/>
          <w:bdr w:val="none" w:color="auto" w:sz="0" w:space="0"/>
        </w:rPr>
        <w:t>，如微山湖、骆马湖、云龙湖周边，以及泉山区的森林公园；20 年间，低温区的面积略有减少，且破碎化程度提高，主要因城市扩张对自然地表的占用；</w:t>
      </w:r>
    </w:p>
    <w:p w14:paraId="18AE189C">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温度梯度</w:t>
      </w:r>
      <w:r>
        <w:rPr>
          <w:color w:val="000000"/>
          <w:sz w:val="24"/>
          <w:szCs w:val="24"/>
          <w:bdr w:val="none" w:color="auto" w:sz="0" w:space="0"/>
        </w:rPr>
        <w:t>：从中心城区向郊区，地表温度呈</w:t>
      </w:r>
      <w:r>
        <w:rPr>
          <w:rStyle w:val="7"/>
          <w:b/>
          <w:bCs/>
          <w:color w:val="000000"/>
          <w:sz w:val="24"/>
          <w:szCs w:val="24"/>
          <w:bdr w:val="none" w:color="auto" w:sz="0" w:space="0"/>
        </w:rPr>
        <w:t>逐渐降低</w:t>
      </w:r>
      <w:r>
        <w:rPr>
          <w:color w:val="000000"/>
          <w:sz w:val="24"/>
          <w:szCs w:val="24"/>
          <w:bdr w:val="none" w:color="auto" w:sz="0" w:space="0"/>
        </w:rPr>
        <w:t>的梯度分布，且梯度差不断增大，表明城市热岛的空间分异特征日益显著。</w:t>
      </w:r>
    </w:p>
    <w:p w14:paraId="232905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5.3.3 不同土地利用类型的温度差异分析</w:t>
      </w:r>
    </w:p>
    <w:p w14:paraId="6A8F2FD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对不同土地利用类型的地表温度进行统计分析，结果表明：</w:t>
      </w:r>
      <w:r>
        <w:rPr>
          <w:rStyle w:val="7"/>
          <w:rFonts w:ascii="宋体" w:hAnsi="宋体" w:eastAsia="宋体" w:cs="宋体"/>
          <w:b/>
          <w:bCs/>
          <w:color w:val="000000"/>
          <w:kern w:val="0"/>
          <w:sz w:val="24"/>
          <w:szCs w:val="24"/>
          <w:bdr w:val="none" w:color="auto" w:sz="0" w:space="0"/>
          <w:lang w:val="en-US" w:eastAsia="zh-CN" w:bidi="ar"/>
        </w:rPr>
        <w:t>不同土地利用类型的地表温度存在显著差异</w:t>
      </w:r>
      <w:r>
        <w:rPr>
          <w:rFonts w:ascii="宋体" w:hAnsi="宋体" w:eastAsia="宋体" w:cs="宋体"/>
          <w:color w:val="000000"/>
          <w:kern w:val="0"/>
          <w:sz w:val="24"/>
          <w:szCs w:val="24"/>
          <w:bdr w:val="none" w:color="auto" w:sz="0" w:space="0"/>
          <w:lang w:val="en-US" w:eastAsia="zh-CN" w:bidi="ar"/>
        </w:rPr>
        <w:t>，从高到低依次为：建设用地＞未利用地＞耕地＞林地＞水体，具体特征如下：</w:t>
      </w:r>
    </w:p>
    <w:p w14:paraId="10DD6E6E">
      <w:pPr>
        <w:keepNext w:val="0"/>
        <w:keepLines w:val="0"/>
        <w:widowControl/>
        <w:numPr>
          <w:ilvl w:val="0"/>
          <w:numId w:val="2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建设用地</w:t>
      </w:r>
      <w:r>
        <w:rPr>
          <w:color w:val="000000"/>
          <w:sz w:val="24"/>
          <w:szCs w:val="24"/>
          <w:bdr w:val="none" w:color="auto" w:sz="0" w:space="0"/>
        </w:rPr>
        <w:t>：平均地表温度最高，且 20 年间上升幅度最大，达 3.2℃，主要因建设用地的热容量小、反照率低，吸热快、散热慢；</w:t>
      </w:r>
    </w:p>
    <w:p w14:paraId="3B14B13F">
      <w:pPr>
        <w:keepNext w:val="0"/>
        <w:keepLines w:val="0"/>
        <w:widowControl/>
        <w:numPr>
          <w:ilvl w:val="0"/>
          <w:numId w:val="2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水体</w:t>
      </w:r>
      <w:r>
        <w:rPr>
          <w:color w:val="000000"/>
          <w:sz w:val="24"/>
          <w:szCs w:val="24"/>
          <w:bdr w:val="none" w:color="auto" w:sz="0" w:space="0"/>
        </w:rPr>
        <w:t>：平均地表温度最低，且变化幅度最小，主要因水体的热容量大，能够调节区域温度，是缓解城市热岛的重要因素；</w:t>
      </w:r>
    </w:p>
    <w:p w14:paraId="5A42A1AE">
      <w:pPr>
        <w:keepNext w:val="0"/>
        <w:keepLines w:val="0"/>
        <w:widowControl/>
        <w:numPr>
          <w:ilvl w:val="0"/>
          <w:numId w:val="2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植被（林地、耕地）</w:t>
      </w:r>
      <w:r>
        <w:rPr>
          <w:color w:val="000000"/>
          <w:sz w:val="24"/>
          <w:szCs w:val="24"/>
          <w:bdr w:val="none" w:color="auto" w:sz="0" w:space="0"/>
        </w:rPr>
        <w:t>：平均地表温度较低，与建设用地的温度差达 3-5℃，表明植被覆盖能够有效降低地表温度，缓解城市热岛效应。</w:t>
      </w:r>
    </w:p>
    <w:p w14:paraId="39D4F3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6、城市扩张与热环境变化耦合关系研究</w:t>
      </w:r>
    </w:p>
    <w:p w14:paraId="196BFA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6.1 耦合关系分析方法</w:t>
      </w:r>
    </w:p>
    <w:p w14:paraId="2F0243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本研究采用</w:t>
      </w:r>
      <w:r>
        <w:rPr>
          <w:rStyle w:val="7"/>
          <w:rFonts w:ascii="宋体" w:hAnsi="宋体" w:eastAsia="宋体" w:cs="宋体"/>
          <w:b/>
          <w:bCs/>
          <w:color w:val="000000"/>
          <w:kern w:val="0"/>
          <w:sz w:val="24"/>
          <w:szCs w:val="24"/>
          <w:bdr w:val="none" w:color="auto" w:sz="0" w:space="0"/>
          <w:lang w:val="en-US" w:eastAsia="zh-CN" w:bidi="ar"/>
        </w:rPr>
        <w:t>数理统计分析</w:t>
      </w:r>
      <w:r>
        <w:rPr>
          <w:rFonts w:ascii="宋体" w:hAnsi="宋体" w:eastAsia="宋体" w:cs="宋体"/>
          <w:color w:val="000000"/>
          <w:kern w:val="0"/>
          <w:sz w:val="24"/>
          <w:szCs w:val="24"/>
          <w:bdr w:val="none" w:color="auto" w:sz="0" w:space="0"/>
          <w:lang w:val="en-US" w:eastAsia="zh-CN" w:bidi="ar"/>
        </w:rPr>
        <w:t>和</w:t>
      </w:r>
      <w:r>
        <w:rPr>
          <w:rStyle w:val="7"/>
          <w:rFonts w:ascii="宋体" w:hAnsi="宋体" w:eastAsia="宋体" w:cs="宋体"/>
          <w:b/>
          <w:bCs/>
          <w:color w:val="000000"/>
          <w:kern w:val="0"/>
          <w:sz w:val="24"/>
          <w:szCs w:val="24"/>
          <w:bdr w:val="none" w:color="auto" w:sz="0" w:space="0"/>
          <w:lang w:val="en-US" w:eastAsia="zh-CN" w:bidi="ar"/>
        </w:rPr>
        <w:t>空间分析</w:t>
      </w:r>
      <w:r>
        <w:rPr>
          <w:rFonts w:ascii="宋体" w:hAnsi="宋体" w:eastAsia="宋体" w:cs="宋体"/>
          <w:color w:val="000000"/>
          <w:kern w:val="0"/>
          <w:sz w:val="24"/>
          <w:szCs w:val="24"/>
          <w:bdr w:val="none" w:color="auto" w:sz="0" w:space="0"/>
          <w:lang w:val="en-US" w:eastAsia="zh-CN" w:bidi="ar"/>
        </w:rPr>
        <w:t>相结合的方法，定量揭示徐州城市扩张与热环境变化的耦合关系，具体方法如下：</w:t>
      </w:r>
    </w:p>
    <w:p w14:paraId="2C573FF9">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Pearson 相关性分析</w:t>
      </w:r>
      <w:r>
        <w:rPr>
          <w:color w:val="000000"/>
          <w:sz w:val="24"/>
          <w:szCs w:val="24"/>
          <w:bdr w:val="none" w:color="auto" w:sz="0" w:space="0"/>
        </w:rPr>
        <w:t>：利用 SPSS 软件，计算城市扩张指标（建设用地比例、扩张强度、聚集度指数）与热环境指标（平均地表温度、热岛强度、温度标准差）之间的 Pearson 相关系数，分析二者的线性相关程度；</w:t>
      </w:r>
    </w:p>
    <w:p w14:paraId="076537B7">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多元线性回归分析</w:t>
      </w:r>
      <w:r>
        <w:rPr>
          <w:color w:val="000000"/>
          <w:sz w:val="24"/>
          <w:szCs w:val="24"/>
          <w:bdr w:val="none" w:color="auto" w:sz="0" w:space="0"/>
        </w:rPr>
        <w:t>：以热环境指标为因变量，以城市扩张指标为自变量，构建多元线性回归模型，定量揭示城市扩张对热环境变化的定量贡献；</w:t>
      </w:r>
    </w:p>
    <w:p w14:paraId="43E4C38E">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空间叠加分析</w:t>
      </w:r>
      <w:r>
        <w:rPr>
          <w:color w:val="000000"/>
          <w:sz w:val="24"/>
          <w:szCs w:val="24"/>
          <w:bdr w:val="none" w:color="auto" w:sz="0" w:space="0"/>
        </w:rPr>
        <w:t>：利用 ArcGIS 软件，将城市扩张空间分布图与地表温度空间分布图进行叠加，分析城市扩张区域与热环境变化区域的空间匹配性；</w:t>
      </w:r>
    </w:p>
    <w:p w14:paraId="07ABD2AF">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土地利用转型温度效应分析</w:t>
      </w:r>
      <w:r>
        <w:rPr>
          <w:color w:val="000000"/>
          <w:sz w:val="24"/>
          <w:szCs w:val="24"/>
          <w:bdr w:val="none" w:color="auto" w:sz="0" w:space="0"/>
        </w:rPr>
        <w:t>：计算不同土地利用类型转型（耕地转建设用地、林地转建设用地、水体转建设用地）后的地表温度变化量，分析其温度效应。</w:t>
      </w:r>
    </w:p>
    <w:p w14:paraId="551AFC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6.2 定量耦合关系分析</w:t>
      </w:r>
    </w:p>
    <w:p w14:paraId="2973B5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6.2.1 相关性分析</w:t>
      </w:r>
    </w:p>
    <w:p w14:paraId="352124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Pearson 相关性分析结果表明，徐州城市扩张指标与热环境指标之间存在</w:t>
      </w:r>
      <w:r>
        <w:rPr>
          <w:rStyle w:val="7"/>
          <w:rFonts w:ascii="宋体" w:hAnsi="宋体" w:eastAsia="宋体" w:cs="宋体"/>
          <w:b/>
          <w:bCs/>
          <w:color w:val="000000"/>
          <w:kern w:val="0"/>
          <w:sz w:val="24"/>
          <w:szCs w:val="24"/>
          <w:bdr w:val="none" w:color="auto" w:sz="0" w:space="0"/>
          <w:lang w:val="en-US" w:eastAsia="zh-CN" w:bidi="ar"/>
        </w:rPr>
        <w:t>显著的正相关关系</w:t>
      </w:r>
      <w:r>
        <w:rPr>
          <w:rFonts w:ascii="宋体" w:hAnsi="宋体" w:eastAsia="宋体" w:cs="宋体"/>
          <w:color w:val="000000"/>
          <w:kern w:val="0"/>
          <w:sz w:val="24"/>
          <w:szCs w:val="24"/>
          <w:bdr w:val="none" w:color="auto" w:sz="0" w:space="0"/>
          <w:lang w:val="en-US" w:eastAsia="zh-CN" w:bidi="ar"/>
        </w:rPr>
        <w:t>，具体如下：</w:t>
      </w:r>
    </w:p>
    <w:p w14:paraId="792509BB">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建设用地比例与平均地表温度、热岛强度的相关系数分别为 0.92、0.95，均为极显著正相关（P＜0.01），表明建设用地比例越高，地表温度和热岛强度越高；</w:t>
      </w:r>
    </w:p>
    <w:p w14:paraId="398E83ED">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城市扩张强度与平均地表温度、热岛强度的相关系数分别为 0.88、0.91，均为极显著正相关（P＜0.01），表明城市扩张速度越快、强度越大，热环境恶化越严重；</w:t>
      </w:r>
    </w:p>
    <w:p w14:paraId="114FF1E6">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color w:val="000000"/>
          <w:sz w:val="24"/>
          <w:szCs w:val="24"/>
          <w:bdr w:val="none" w:color="auto" w:sz="0" w:space="0"/>
        </w:rPr>
        <w:t>建设用地聚集度指数与热岛强度的相关系数为 0.89，极显著正相关（P＜0.01），表明建设用地的聚集程度越高，热岛效应越显著。</w:t>
      </w:r>
    </w:p>
    <w:p w14:paraId="741976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6.2.2 多元线性回归分析</w:t>
      </w:r>
    </w:p>
    <w:p w14:paraId="63FCAC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以热岛强度（UHI）为因变量，以建设用地比例（X1）、城市扩张强度（X2）、建设用地聚集度指数（X3）为自变量，构建多元线性回归模型：</w:t>
      </w:r>
      <w:r>
        <w:rPr>
          <w:rFonts w:ascii="宋体" w:hAnsi="宋体" w:eastAsia="宋体" w:cs="宋体"/>
          <w:color w:val="000000"/>
          <w:kern w:val="0"/>
          <w:sz w:val="29"/>
          <w:szCs w:val="29"/>
          <w:bdr w:val="none" w:color="auto" w:sz="0" w:space="0"/>
          <w:lang w:val="en-US" w:eastAsia="zh-CN" w:bidi="ar"/>
        </w:rPr>
        <w:t>UHI=0.082X1+0.105X2+0.097X3−0.562</w:t>
      </w:r>
      <w:r>
        <w:rPr>
          <w:rFonts w:ascii="宋体" w:hAnsi="宋体" w:eastAsia="宋体" w:cs="宋体"/>
          <w:color w:val="000000"/>
          <w:kern w:val="0"/>
          <w:sz w:val="24"/>
          <w:szCs w:val="24"/>
          <w:bdr w:val="none" w:color="auto" w:sz="0" w:space="0"/>
          <w:lang w:val="en-US" w:eastAsia="zh-CN" w:bidi="ar"/>
        </w:rPr>
        <w:t>模型的决定系数</w:t>
      </w:r>
      <w:r>
        <w:rPr>
          <w:rFonts w:ascii="宋体" w:hAnsi="宋体" w:eastAsia="宋体" w:cs="宋体"/>
          <w:color w:val="000000"/>
          <w:kern w:val="0"/>
          <w:sz w:val="29"/>
          <w:szCs w:val="29"/>
          <w:bdr w:val="none" w:color="auto" w:sz="0" w:space="0"/>
          <w:lang w:val="en-US" w:eastAsia="zh-CN" w:bidi="ar"/>
        </w:rPr>
        <w:t>R2=0.94</w:t>
      </w:r>
      <w:r>
        <w:rPr>
          <w:rFonts w:ascii="宋体" w:hAnsi="宋体" w:eastAsia="宋体" w:cs="宋体"/>
          <w:color w:val="000000"/>
          <w:kern w:val="0"/>
          <w:sz w:val="24"/>
          <w:szCs w:val="24"/>
          <w:bdr w:val="none" w:color="auto" w:sz="0" w:space="0"/>
          <w:lang w:val="en-US" w:eastAsia="zh-CN" w:bidi="ar"/>
        </w:rPr>
        <w:t>，F 检验值为 128.6，P＜0.01，表明模型拟合效果良好，能够解释 94% 的热岛强度变化；从回归系数可以看出，</w:t>
      </w:r>
      <w:r>
        <w:rPr>
          <w:rStyle w:val="7"/>
          <w:rFonts w:ascii="宋体" w:hAnsi="宋体" w:eastAsia="宋体" w:cs="宋体"/>
          <w:b/>
          <w:bCs/>
          <w:color w:val="000000"/>
          <w:kern w:val="0"/>
          <w:sz w:val="24"/>
          <w:szCs w:val="24"/>
          <w:bdr w:val="none" w:color="auto" w:sz="0" w:space="0"/>
          <w:lang w:val="en-US" w:eastAsia="zh-CN" w:bidi="ar"/>
        </w:rPr>
        <w:t>城市扩张强度对热岛强度的贡献最大</w:t>
      </w:r>
      <w:r>
        <w:rPr>
          <w:rFonts w:ascii="宋体" w:hAnsi="宋体" w:eastAsia="宋体" w:cs="宋体"/>
          <w:color w:val="000000"/>
          <w:kern w:val="0"/>
          <w:sz w:val="24"/>
          <w:szCs w:val="24"/>
          <w:bdr w:val="none" w:color="auto" w:sz="0" w:space="0"/>
          <w:lang w:val="en-US" w:eastAsia="zh-CN" w:bidi="ar"/>
        </w:rPr>
        <w:t>，其次是建设用地聚集度指数和建设用地比例。</w:t>
      </w:r>
    </w:p>
    <w:p w14:paraId="795371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6.3 空间耦合关系分析</w:t>
      </w:r>
    </w:p>
    <w:p w14:paraId="21FEEB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空间叠加分析结果表明，徐州城市扩张与热环境变化存在</w:t>
      </w:r>
      <w:r>
        <w:rPr>
          <w:rStyle w:val="7"/>
          <w:rFonts w:ascii="宋体" w:hAnsi="宋体" w:eastAsia="宋体" w:cs="宋体"/>
          <w:b/>
          <w:bCs/>
          <w:color w:val="000000"/>
          <w:kern w:val="0"/>
          <w:sz w:val="24"/>
          <w:szCs w:val="24"/>
          <w:bdr w:val="none" w:color="auto" w:sz="0" w:space="0"/>
          <w:lang w:val="en-US" w:eastAsia="zh-CN" w:bidi="ar"/>
        </w:rPr>
        <w:t>显著的空间耦合性</w:t>
      </w:r>
      <w:r>
        <w:rPr>
          <w:rFonts w:ascii="宋体" w:hAnsi="宋体" w:eastAsia="宋体" w:cs="宋体"/>
          <w:color w:val="000000"/>
          <w:kern w:val="0"/>
          <w:sz w:val="24"/>
          <w:szCs w:val="24"/>
          <w:bdr w:val="none" w:color="auto" w:sz="0" w:space="0"/>
          <w:lang w:val="en-US" w:eastAsia="zh-CN" w:bidi="ar"/>
        </w:rPr>
        <w:t>，具体特征如下：</w:t>
      </w:r>
    </w:p>
    <w:p w14:paraId="38578D43">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扩张区域与高温区的空间匹配</w:t>
      </w:r>
      <w:r>
        <w:rPr>
          <w:color w:val="000000"/>
          <w:sz w:val="24"/>
          <w:szCs w:val="24"/>
          <w:bdr w:val="none" w:color="auto" w:sz="0" w:space="0"/>
        </w:rPr>
        <w:t>：城市建设用地扩张的重点区域（铜山区东部、云龙区南部），同时也是地表温度升高最快、热岛强度最大的区域，空间匹配度达 85% 以上；</w:t>
      </w:r>
    </w:p>
    <w:p w14:paraId="63D74717">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自然地表保护区域与低温区的空间匹配</w:t>
      </w:r>
      <w:r>
        <w:rPr>
          <w:color w:val="000000"/>
          <w:sz w:val="24"/>
          <w:szCs w:val="24"/>
          <w:bdr w:val="none" w:color="auto" w:sz="0" w:space="0"/>
        </w:rPr>
        <w:t>：水体、林地等自然地表得到保护的区域，始终为低温区，地表温度变化幅度小，与城市扩张区域形成鲜明的温度对比；</w:t>
      </w:r>
    </w:p>
    <w:p w14:paraId="606CADC3">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r>
        <w:rPr>
          <w:rStyle w:val="7"/>
          <w:b/>
          <w:bCs/>
          <w:color w:val="000000"/>
          <w:sz w:val="24"/>
          <w:szCs w:val="24"/>
          <w:bdr w:val="none" w:color="auto" w:sz="0" w:space="0"/>
        </w:rPr>
        <w:t>扩张模式与热环境空间格局的耦合</w:t>
      </w:r>
      <w:r>
        <w:rPr>
          <w:color w:val="000000"/>
          <w:sz w:val="24"/>
          <w:szCs w:val="24"/>
          <w:bdr w:val="none" w:color="auto" w:sz="0" w:space="0"/>
        </w:rPr>
        <w:t>：徐州 “集聚式 + 轴带式” 的扩张模式，导致热环境呈现 “核心 - 外围” 的空间格局，中心城区为强热岛核心，沿交通干线的扩张轴带为次高温区，郊区为低温区。</w:t>
      </w:r>
    </w:p>
    <w:p w14:paraId="38E5437F">
      <w:pPr>
        <w:rPr>
          <w:rFonts w:hint="eastAsia" w:eastAsiaTheme="minorEastAsia"/>
          <w:sz w:val="28"/>
          <w:szCs w:val="28"/>
          <w:lang w:eastAsia="zh-CN"/>
        </w:rPr>
      </w:pPr>
    </w:p>
    <w:p w14:paraId="7322AA0F">
      <w:pPr>
        <w:rPr>
          <w:rFonts w:hint="eastAsia" w:eastAsiaTheme="minorEastAsia"/>
          <w:sz w:val="28"/>
          <w:szCs w:val="28"/>
          <w:lang w:eastAsia="zh-CN"/>
        </w:rPr>
      </w:pPr>
      <w:bookmarkStart w:id="0" w:name="_GoBack"/>
      <w:bookmarkEnd w:id="0"/>
    </w:p>
    <w:p w14:paraId="3D7D6B3B">
      <w:pPr>
        <w:pStyle w:val="3"/>
        <w:keepNext w:val="0"/>
        <w:keepLines w:val="0"/>
        <w:widowControl/>
        <w:suppressLineNumbers w:val="0"/>
        <w:rPr>
          <w:rStyle w:val="7"/>
          <w:b/>
        </w:rPr>
      </w:pPr>
    </w:p>
    <w:p w14:paraId="73303EE9">
      <w:pPr>
        <w:pStyle w:val="3"/>
        <w:keepNext w:val="0"/>
        <w:keepLines w:val="0"/>
        <w:widowControl/>
        <w:suppressLineNumbers w:val="0"/>
        <w:rPr>
          <w:rStyle w:val="7"/>
          <w:b/>
        </w:rPr>
      </w:pPr>
    </w:p>
    <w:p w14:paraId="50DB17E6">
      <w:pPr>
        <w:pStyle w:val="3"/>
        <w:keepNext w:val="0"/>
        <w:keepLines w:val="0"/>
        <w:widowControl/>
        <w:suppressLineNumbers w:val="0"/>
      </w:pPr>
      <w:r>
        <w:rPr>
          <w:rStyle w:val="7"/>
          <w:b/>
        </w:rPr>
        <w:t>主要景观格局指数计算结果表</w:t>
      </w:r>
      <w:r>
        <w:t xml:space="preserve"> </w:t>
      </w:r>
    </w:p>
    <w:tbl>
      <w:tblPr>
        <w:tblStyle w:val="5"/>
        <w:tblW w:w="0" w:type="auto"/>
        <w:tblInd w:w="0" w:type="dxa"/>
        <w:tblBorders>
          <w:top w:val="single" w:color="E0E0E0" w:sz="6" w:space="0"/>
          <w:left w:val="single" w:color="E0E0E0" w:sz="6" w:space="0"/>
          <w:bottom w:val="single" w:color="E0E0E0" w:sz="6" w:space="0"/>
          <w:right w:val="single" w:color="E0E0E0" w:sz="6"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772"/>
        <w:gridCol w:w="1892"/>
        <w:gridCol w:w="848"/>
        <w:gridCol w:w="848"/>
        <w:gridCol w:w="761"/>
        <w:gridCol w:w="2378"/>
      </w:tblGrid>
      <w:tr w14:paraId="1FC00A8B">
        <w:tblPrEx>
          <w:tblBorders>
            <w:top w:val="single" w:color="E0E0E0" w:sz="6" w:space="0"/>
            <w:left w:val="single" w:color="E0E0E0" w:sz="6" w:space="0"/>
            <w:bottom w:val="single" w:color="E0E0E0" w:sz="6" w:space="0"/>
            <w:right w:val="single" w:color="E0E0E0" w:sz="6" w:space="0"/>
            <w:insideH w:val="none" w:color="auto" w:sz="0" w:space="0"/>
            <w:insideV w:val="none" w:color="auto" w:sz="0" w:space="0"/>
          </w:tblBorders>
          <w:shd w:val="clear" w:color="auto" w:fill="auto"/>
          <w:tblCellMar>
            <w:top w:w="0" w:type="dxa"/>
            <w:left w:w="0" w:type="dxa"/>
            <w:bottom w:w="0" w:type="dxa"/>
            <w:right w:w="0" w:type="dxa"/>
          </w:tblCellMar>
        </w:tblPrEx>
        <w:trPr>
          <w:tblHeader/>
        </w:trPr>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0551D419">
            <w:pPr>
              <w:keepNext w:val="0"/>
              <w:keepLines w:val="0"/>
              <w:widowControl/>
              <w:suppressLineNumbers w:val="0"/>
              <w:pBdr>
                <w:top w:val="none" w:color="auto" w:sz="0" w:space="0"/>
                <w:left w:val="none" w:color="auto" w:sz="0" w:space="0"/>
                <w:bottom w:val="none" w:color="auto" w:sz="0" w:space="0"/>
                <w:right w:val="none" w:color="auto" w:sz="0" w:space="0"/>
              </w:pBdr>
              <w:jc w:val="center"/>
              <w:rPr>
                <w:b/>
                <w:bCs/>
                <w:sz w:val="24"/>
                <w:szCs w:val="24"/>
              </w:rPr>
            </w:pPr>
            <w:r>
              <w:rPr>
                <w:rFonts w:ascii="宋体" w:hAnsi="宋体" w:eastAsia="宋体" w:cs="宋体"/>
                <w:b/>
                <w:bCs/>
                <w:kern w:val="0"/>
                <w:sz w:val="24"/>
                <w:szCs w:val="24"/>
                <w:lang w:val="en-US" w:eastAsia="zh-CN" w:bidi="ar"/>
              </w:rPr>
              <w:t>景观格局指数</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6EF531E3">
            <w:pPr>
              <w:keepNext w:val="0"/>
              <w:keepLines w:val="0"/>
              <w:widowControl/>
              <w:suppressLineNumbers w:val="0"/>
              <w:pBdr>
                <w:top w:val="none" w:color="auto" w:sz="0" w:space="0"/>
                <w:left w:val="none" w:color="auto" w:sz="0" w:space="0"/>
                <w:bottom w:val="none" w:color="auto" w:sz="0" w:space="0"/>
                <w:right w:val="none" w:color="auto" w:sz="0" w:space="0"/>
              </w:pBdr>
              <w:jc w:val="center"/>
              <w:rPr>
                <w:b/>
                <w:bCs/>
                <w:sz w:val="24"/>
                <w:szCs w:val="24"/>
              </w:rPr>
            </w:pPr>
            <w:r>
              <w:rPr>
                <w:rFonts w:ascii="宋体" w:hAnsi="宋体" w:eastAsia="宋体" w:cs="宋体"/>
                <w:b/>
                <w:bCs/>
                <w:kern w:val="0"/>
                <w:sz w:val="24"/>
                <w:szCs w:val="24"/>
                <w:lang w:val="en-US" w:eastAsia="zh-CN" w:bidi="ar"/>
              </w:rPr>
              <w:t>指数含义</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0E1E1B25">
            <w:pPr>
              <w:keepNext w:val="0"/>
              <w:keepLines w:val="0"/>
              <w:widowControl/>
              <w:suppressLineNumbers w:val="0"/>
              <w:pBdr>
                <w:top w:val="none" w:color="auto" w:sz="0" w:space="0"/>
                <w:left w:val="none" w:color="auto" w:sz="0" w:space="0"/>
                <w:bottom w:val="none" w:color="auto" w:sz="0" w:space="0"/>
                <w:right w:val="none" w:color="auto" w:sz="0" w:space="0"/>
              </w:pBdr>
              <w:jc w:val="center"/>
              <w:rPr>
                <w:b/>
                <w:bCs/>
                <w:sz w:val="24"/>
                <w:szCs w:val="24"/>
              </w:rPr>
            </w:pPr>
            <w:r>
              <w:rPr>
                <w:rFonts w:ascii="宋体" w:hAnsi="宋体" w:eastAsia="宋体" w:cs="宋体"/>
                <w:b/>
                <w:bCs/>
                <w:kern w:val="0"/>
                <w:sz w:val="24"/>
                <w:szCs w:val="24"/>
                <w:lang w:val="en-US" w:eastAsia="zh-CN" w:bidi="ar"/>
              </w:rPr>
              <w:t>2000年</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5166B13C">
            <w:pPr>
              <w:keepNext w:val="0"/>
              <w:keepLines w:val="0"/>
              <w:widowControl/>
              <w:suppressLineNumbers w:val="0"/>
              <w:pBdr>
                <w:top w:val="none" w:color="auto" w:sz="0" w:space="0"/>
                <w:left w:val="none" w:color="auto" w:sz="0" w:space="0"/>
                <w:bottom w:val="none" w:color="auto" w:sz="0" w:space="0"/>
                <w:right w:val="none" w:color="auto" w:sz="0" w:space="0"/>
              </w:pBdr>
              <w:jc w:val="center"/>
              <w:rPr>
                <w:b/>
                <w:bCs/>
                <w:sz w:val="24"/>
                <w:szCs w:val="24"/>
              </w:rPr>
            </w:pPr>
            <w:r>
              <w:rPr>
                <w:rFonts w:ascii="宋体" w:hAnsi="宋体" w:eastAsia="宋体" w:cs="宋体"/>
                <w:b/>
                <w:bCs/>
                <w:kern w:val="0"/>
                <w:sz w:val="24"/>
                <w:szCs w:val="24"/>
                <w:lang w:val="en-US" w:eastAsia="zh-CN" w:bidi="ar"/>
              </w:rPr>
              <w:t>2010年</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5356A614">
            <w:pPr>
              <w:keepNext w:val="0"/>
              <w:keepLines w:val="0"/>
              <w:widowControl/>
              <w:suppressLineNumbers w:val="0"/>
              <w:pBdr>
                <w:top w:val="none" w:color="auto" w:sz="0" w:space="0"/>
                <w:left w:val="none" w:color="auto" w:sz="0" w:space="0"/>
                <w:bottom w:val="none" w:color="auto" w:sz="0" w:space="0"/>
                <w:right w:val="none" w:color="auto" w:sz="0" w:space="0"/>
              </w:pBdr>
              <w:jc w:val="center"/>
              <w:rPr>
                <w:b/>
                <w:bCs/>
                <w:sz w:val="24"/>
                <w:szCs w:val="24"/>
              </w:rPr>
            </w:pPr>
            <w:r>
              <w:rPr>
                <w:rFonts w:ascii="宋体" w:hAnsi="宋体" w:eastAsia="宋体" w:cs="宋体"/>
                <w:b/>
                <w:bCs/>
                <w:kern w:val="0"/>
                <w:sz w:val="24"/>
                <w:szCs w:val="24"/>
                <w:lang w:val="en-US" w:eastAsia="zh-CN" w:bidi="ar"/>
              </w:rPr>
              <w:t>2020年</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3D58E349">
            <w:pPr>
              <w:keepNext w:val="0"/>
              <w:keepLines w:val="0"/>
              <w:widowControl/>
              <w:suppressLineNumbers w:val="0"/>
              <w:pBdr>
                <w:top w:val="none" w:color="auto" w:sz="0" w:space="0"/>
                <w:left w:val="none" w:color="auto" w:sz="0" w:space="0"/>
                <w:bottom w:val="none" w:color="auto" w:sz="0" w:space="0"/>
                <w:right w:val="none" w:color="auto" w:sz="0" w:space="0"/>
              </w:pBdr>
              <w:jc w:val="center"/>
              <w:rPr>
                <w:b/>
                <w:bCs/>
                <w:sz w:val="24"/>
                <w:szCs w:val="24"/>
              </w:rPr>
            </w:pPr>
            <w:r>
              <w:rPr>
                <w:rFonts w:ascii="宋体" w:hAnsi="宋体" w:eastAsia="宋体" w:cs="宋体"/>
                <w:b/>
                <w:bCs/>
                <w:kern w:val="0"/>
                <w:sz w:val="24"/>
                <w:szCs w:val="24"/>
                <w:lang w:val="en-US" w:eastAsia="zh-CN" w:bidi="ar"/>
              </w:rPr>
              <w:t>变化趋势与生态意义</w:t>
            </w:r>
          </w:p>
        </w:tc>
      </w:tr>
      <w:tr w14:paraId="135FC5B5">
        <w:tblPrEx>
          <w:tblBorders>
            <w:top w:val="single" w:color="E0E0E0" w:sz="6" w:space="0"/>
            <w:left w:val="single" w:color="E0E0E0" w:sz="6" w:space="0"/>
            <w:bottom w:val="single" w:color="E0E0E0" w:sz="6" w:space="0"/>
            <w:right w:val="single" w:color="E0E0E0" w:sz="6"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65A9DCFF">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Style w:val="7"/>
                <w:rFonts w:ascii="宋体" w:hAnsi="宋体" w:eastAsia="宋体" w:cs="宋体"/>
                <w:kern w:val="0"/>
                <w:sz w:val="24"/>
                <w:szCs w:val="24"/>
                <w:lang w:val="en-US" w:eastAsia="zh-CN" w:bidi="ar"/>
              </w:rPr>
              <w:t>斑块数量 (NP)</w:t>
            </w:r>
            <w:r>
              <w:rPr>
                <w:rFonts w:ascii="宋体" w:hAnsi="宋体" w:eastAsia="宋体" w:cs="宋体"/>
                <w:kern w:val="0"/>
                <w:sz w:val="24"/>
                <w:szCs w:val="24"/>
                <w:lang w:val="en-US" w:eastAsia="zh-CN" w:bidi="ar"/>
              </w:rPr>
              <w:t>​</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4032114A">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建设用地斑块的总个数</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75446D3C">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1,542</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08250502">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1,210</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31927186">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980</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405FDBC5">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Style w:val="7"/>
                <w:rFonts w:ascii="宋体" w:hAnsi="宋体" w:eastAsia="宋体" w:cs="宋体"/>
                <w:kern w:val="0"/>
                <w:sz w:val="24"/>
                <w:szCs w:val="24"/>
                <w:lang w:val="en-US" w:eastAsia="zh-CN" w:bidi="ar"/>
              </w:rPr>
              <w:t>持续减少</w:t>
            </w:r>
            <w:r>
              <w:rPr>
                <w:rFonts w:ascii="宋体" w:hAnsi="宋体" w:eastAsia="宋体" w:cs="宋体"/>
                <w:kern w:val="0"/>
                <w:sz w:val="24"/>
                <w:szCs w:val="24"/>
                <w:lang w:val="en-US" w:eastAsia="zh-CN" w:bidi="ar"/>
              </w:rPr>
              <w:t>。表明小斑块被合并，景观破碎化程度降低。</w:t>
            </w:r>
          </w:p>
        </w:tc>
      </w:tr>
      <w:tr w14:paraId="6588D46D">
        <w:tblPrEx>
          <w:tblBorders>
            <w:top w:val="single" w:color="E0E0E0" w:sz="6" w:space="0"/>
            <w:left w:val="single" w:color="E0E0E0" w:sz="6" w:space="0"/>
            <w:bottom w:val="single" w:color="E0E0E0" w:sz="6" w:space="0"/>
            <w:right w:val="single" w:color="E0E0E0"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2537FEBD">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Style w:val="7"/>
                <w:rFonts w:ascii="宋体" w:hAnsi="宋体" w:eastAsia="宋体" w:cs="宋体"/>
                <w:kern w:val="0"/>
                <w:sz w:val="24"/>
                <w:szCs w:val="24"/>
                <w:lang w:val="en-US" w:eastAsia="zh-CN" w:bidi="ar"/>
              </w:rPr>
              <w:t>斑块密度 (PD)</w:t>
            </w:r>
            <w:r>
              <w:rPr>
                <w:rFonts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单位：个/100公顷</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46C073DC">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每百公顷内的斑块数，反映破碎化程度</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332EADD3">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4.8</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2DD949F1">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3.7</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5F60876C">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3.0</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730B3E86">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Style w:val="7"/>
                <w:rFonts w:ascii="宋体" w:hAnsi="宋体" w:eastAsia="宋体" w:cs="宋体"/>
                <w:kern w:val="0"/>
                <w:sz w:val="24"/>
                <w:szCs w:val="24"/>
                <w:lang w:val="en-US" w:eastAsia="zh-CN" w:bidi="ar"/>
              </w:rPr>
              <w:t>持续下降</w:t>
            </w:r>
            <w:r>
              <w:rPr>
                <w:rFonts w:ascii="宋体" w:hAnsi="宋体" w:eastAsia="宋体" w:cs="宋体"/>
                <w:kern w:val="0"/>
                <w:sz w:val="24"/>
                <w:szCs w:val="24"/>
                <w:lang w:val="en-US" w:eastAsia="zh-CN" w:bidi="ar"/>
              </w:rPr>
              <w:t>。印证了NP的趋势，建设用地趋于整合连片。</w:t>
            </w:r>
          </w:p>
        </w:tc>
      </w:tr>
      <w:tr w14:paraId="796C00AD">
        <w:tblPrEx>
          <w:tblBorders>
            <w:top w:val="single" w:color="E0E0E0" w:sz="6" w:space="0"/>
            <w:left w:val="single" w:color="E0E0E0" w:sz="6" w:space="0"/>
            <w:bottom w:val="single" w:color="E0E0E0" w:sz="6" w:space="0"/>
            <w:right w:val="single" w:color="E0E0E0"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24E2626E">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Style w:val="7"/>
                <w:rFonts w:ascii="宋体" w:hAnsi="宋体" w:eastAsia="宋体" w:cs="宋体"/>
                <w:kern w:val="0"/>
                <w:sz w:val="24"/>
                <w:szCs w:val="24"/>
                <w:lang w:val="en-US" w:eastAsia="zh-CN" w:bidi="ar"/>
              </w:rPr>
              <w:t>最大斑块指数 (LPI)</w:t>
            </w:r>
            <w:r>
              <w:rPr>
                <w:rFonts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单位：%</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0E51CD74">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最大斑块面积占景观面积的比例，显示优势度</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60AFAA57">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15.2</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7B7C6275">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21.8</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2A8898AD">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28.5</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06D1760A">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Style w:val="7"/>
                <w:rFonts w:ascii="宋体" w:hAnsi="宋体" w:eastAsia="宋体" w:cs="宋体"/>
                <w:kern w:val="0"/>
                <w:sz w:val="24"/>
                <w:szCs w:val="24"/>
                <w:lang w:val="en-US" w:eastAsia="zh-CN" w:bidi="ar"/>
              </w:rPr>
              <w:t>显著上升</w:t>
            </w:r>
            <w:r>
              <w:rPr>
                <w:rFonts w:ascii="宋体" w:hAnsi="宋体" w:eastAsia="宋体" w:cs="宋体"/>
                <w:kern w:val="0"/>
                <w:sz w:val="24"/>
                <w:szCs w:val="24"/>
                <w:lang w:val="en-US" w:eastAsia="zh-CN" w:bidi="ar"/>
              </w:rPr>
              <w:t>。核心建成区（如老城区）的绝对优势地位不断增强。</w:t>
            </w:r>
          </w:p>
        </w:tc>
      </w:tr>
      <w:tr w14:paraId="5B230006">
        <w:tblPrEx>
          <w:tblBorders>
            <w:top w:val="single" w:color="E0E0E0" w:sz="6" w:space="0"/>
            <w:left w:val="single" w:color="E0E0E0" w:sz="6" w:space="0"/>
            <w:bottom w:val="single" w:color="E0E0E0" w:sz="6" w:space="0"/>
            <w:right w:val="single" w:color="E0E0E0"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60AA2E6A">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Style w:val="7"/>
                <w:rFonts w:ascii="宋体" w:hAnsi="宋体" w:eastAsia="宋体" w:cs="宋体"/>
                <w:kern w:val="0"/>
                <w:sz w:val="24"/>
                <w:szCs w:val="24"/>
                <w:lang w:val="en-US" w:eastAsia="zh-CN" w:bidi="ar"/>
              </w:rPr>
              <w:t>景观形状指数 (LSI)</w:t>
            </w:r>
            <w:r>
              <w:rPr>
                <w:rFonts w:ascii="宋体" w:hAnsi="宋体" w:eastAsia="宋体" w:cs="宋体"/>
                <w:kern w:val="0"/>
                <w:sz w:val="24"/>
                <w:szCs w:val="24"/>
                <w:lang w:val="en-US" w:eastAsia="zh-CN" w:bidi="ar"/>
              </w:rPr>
              <w:t>​</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7AE62595">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衡量斑块形状的复杂程度（相对于等面积正方形）</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59DA7AE1">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48.6</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00480BBA">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52.3</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7A63D075">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55.1</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4241206D">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Style w:val="7"/>
                <w:rFonts w:ascii="宋体" w:hAnsi="宋体" w:eastAsia="宋体" w:cs="宋体"/>
                <w:kern w:val="0"/>
                <w:sz w:val="24"/>
                <w:szCs w:val="24"/>
                <w:lang w:val="en-US" w:eastAsia="zh-CN" w:bidi="ar"/>
              </w:rPr>
              <w:t>缓慢增加</w:t>
            </w:r>
            <w:r>
              <w:rPr>
                <w:rFonts w:ascii="宋体" w:hAnsi="宋体" w:eastAsia="宋体" w:cs="宋体"/>
                <w:kern w:val="0"/>
                <w:sz w:val="24"/>
                <w:szCs w:val="24"/>
                <w:lang w:val="en-US" w:eastAsia="zh-CN" w:bidi="ar"/>
              </w:rPr>
              <w:t>。由于新城扩张边缘不规则，整体形状变得略为复杂。</w:t>
            </w:r>
          </w:p>
        </w:tc>
      </w:tr>
      <w:tr w14:paraId="3729BEDC">
        <w:tblPrEx>
          <w:tblBorders>
            <w:top w:val="single" w:color="E0E0E0" w:sz="6" w:space="0"/>
            <w:left w:val="single" w:color="E0E0E0" w:sz="6" w:space="0"/>
            <w:bottom w:val="single" w:color="E0E0E0" w:sz="6" w:space="0"/>
            <w:right w:val="single" w:color="E0E0E0"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46BA545F">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Style w:val="7"/>
                <w:rFonts w:ascii="宋体" w:hAnsi="宋体" w:eastAsia="宋体" w:cs="宋体"/>
                <w:kern w:val="0"/>
                <w:sz w:val="24"/>
                <w:szCs w:val="24"/>
                <w:lang w:val="en-US" w:eastAsia="zh-CN" w:bidi="ar"/>
              </w:rPr>
              <w:t>聚集度指数 (AI)</w:t>
            </w:r>
            <w:r>
              <w:rPr>
                <w:rFonts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单位：%</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6F9D4D2F">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衡量同类型斑块的聚集程度</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34B4DD50">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78.5</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0CFD078E">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82.4</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6D68A9A0">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86.7</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20454097">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Style w:val="7"/>
                <w:rFonts w:ascii="宋体" w:hAnsi="宋体" w:eastAsia="宋体" w:cs="宋体"/>
                <w:kern w:val="0"/>
                <w:sz w:val="24"/>
                <w:szCs w:val="24"/>
                <w:lang w:val="en-US" w:eastAsia="zh-CN" w:bidi="ar"/>
              </w:rPr>
              <w:t>显著上升</w:t>
            </w:r>
            <w:r>
              <w:rPr>
                <w:rFonts w:ascii="宋体" w:hAnsi="宋体" w:eastAsia="宋体" w:cs="宋体"/>
                <w:kern w:val="0"/>
                <w:sz w:val="24"/>
                <w:szCs w:val="24"/>
                <w:lang w:val="en-US" w:eastAsia="zh-CN" w:bidi="ar"/>
              </w:rPr>
              <w:t>。建设用地斑块的空间连接性越来越好，聚集程度高。</w:t>
            </w:r>
          </w:p>
        </w:tc>
      </w:tr>
      <w:tr w14:paraId="06FEF231">
        <w:tblPrEx>
          <w:tblBorders>
            <w:top w:val="single" w:color="E0E0E0" w:sz="6" w:space="0"/>
            <w:left w:val="single" w:color="E0E0E0" w:sz="6" w:space="0"/>
            <w:bottom w:val="single" w:color="E0E0E0" w:sz="6" w:space="0"/>
            <w:right w:val="single" w:color="E0E0E0"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6974E8F6">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Style w:val="7"/>
                <w:rFonts w:ascii="宋体" w:hAnsi="宋体" w:eastAsia="宋体" w:cs="宋体"/>
                <w:kern w:val="0"/>
                <w:sz w:val="24"/>
                <w:szCs w:val="24"/>
                <w:lang w:val="en-US" w:eastAsia="zh-CN" w:bidi="ar"/>
              </w:rPr>
              <w:t>蔓延度指数 (CONTAG)</w:t>
            </w:r>
            <w:r>
              <w:rPr>
                <w:rFonts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单位：%</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5D13B442">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衡量景观中优势斑块的连接和延展程度</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4B822D39">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65.3</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42B478B8">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68.9</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039A42B5">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Fonts w:ascii="宋体" w:hAnsi="宋体" w:eastAsia="宋体" w:cs="宋体"/>
                <w:kern w:val="0"/>
                <w:sz w:val="24"/>
                <w:szCs w:val="24"/>
                <w:lang w:val="en-US" w:eastAsia="zh-CN" w:bidi="ar"/>
              </w:rPr>
              <w:t>72.5</w:t>
            </w:r>
          </w:p>
        </w:tc>
        <w:tc>
          <w:tcPr>
            <w:tcW w:w="0" w:type="auto"/>
            <w:tcBorders>
              <w:top w:val="single" w:color="E0E0E0" w:sz="6" w:space="0"/>
              <w:left w:val="single" w:color="E0E0E0" w:sz="6" w:space="0"/>
              <w:bottom w:val="single" w:color="E0E0E0" w:sz="6" w:space="0"/>
              <w:right w:val="single" w:color="E0E0E0" w:sz="6" w:space="0"/>
            </w:tcBorders>
            <w:shd w:val="clear" w:color="auto" w:fill="auto"/>
            <w:tcMar>
              <w:top w:w="161" w:type="dxa"/>
              <w:bottom w:w="161" w:type="dxa"/>
              <w:right w:w="193" w:type="dxa"/>
            </w:tcMar>
            <w:vAlign w:val="center"/>
          </w:tcPr>
          <w:p w14:paraId="054423A7">
            <w:pPr>
              <w:keepNext w:val="0"/>
              <w:keepLines w:val="0"/>
              <w:widowControl/>
              <w:suppressLineNumbers w:val="0"/>
              <w:pBdr>
                <w:top w:val="none" w:color="auto" w:sz="0" w:space="0"/>
                <w:left w:val="none" w:color="auto" w:sz="0" w:space="0"/>
                <w:bottom w:val="none" w:color="auto" w:sz="0" w:space="0"/>
                <w:right w:val="none" w:color="auto" w:sz="0" w:space="0"/>
              </w:pBdr>
              <w:jc w:val="left"/>
              <w:rPr>
                <w:sz w:val="24"/>
                <w:szCs w:val="24"/>
              </w:rPr>
            </w:pPr>
            <w:r>
              <w:rPr>
                <w:rStyle w:val="7"/>
                <w:rFonts w:ascii="宋体" w:hAnsi="宋体" w:eastAsia="宋体" w:cs="宋体"/>
                <w:kern w:val="0"/>
                <w:sz w:val="24"/>
                <w:szCs w:val="24"/>
                <w:lang w:val="en-US" w:eastAsia="zh-CN" w:bidi="ar"/>
              </w:rPr>
              <w:t>稳步上升</w:t>
            </w:r>
            <w:r>
              <w:rPr>
                <w:rFonts w:ascii="宋体" w:hAnsi="宋体" w:eastAsia="宋体" w:cs="宋体"/>
                <w:kern w:val="0"/>
                <w:sz w:val="24"/>
                <w:szCs w:val="24"/>
                <w:lang w:val="en-US" w:eastAsia="zh-CN" w:bidi="ar"/>
              </w:rPr>
              <w:t>。优势建设用地类型形成良好的连通性，主导着景观格局。</w:t>
            </w:r>
          </w:p>
        </w:tc>
      </w:tr>
    </w:tbl>
    <w:p w14:paraId="0B3AC01F">
      <w:pPr>
        <w:keepNext w:val="0"/>
        <w:keepLines w:val="0"/>
        <w:widowControl/>
        <w:suppressLineNumbers w:val="0"/>
        <w:jc w:val="left"/>
      </w:pPr>
    </w:p>
    <w:p w14:paraId="0699F2CB">
      <w:pPr>
        <w:keepNext w:val="0"/>
        <w:keepLines w:val="0"/>
        <w:widowControl/>
        <w:suppressLineNumbers w:val="0"/>
        <w:jc w:val="left"/>
      </w:pPr>
      <w:r>
        <w:rPr>
          <w:rFonts w:ascii="宋体" w:hAnsi="宋体" w:eastAsia="宋体" w:cs="宋体"/>
          <w:kern w:val="0"/>
          <w:sz w:val="24"/>
          <w:szCs w:val="24"/>
          <w:lang w:val="en-US" w:eastAsia="zh-CN" w:bidi="ar"/>
        </w:rPr>
        <w:t>上表显示，2000-2020年间，徐州市建设用地的景观格局发生了系统性演变</w:t>
      </w:r>
    </w:p>
    <w:p w14:paraId="354A443F">
      <w:pPr>
        <w:rPr>
          <w:rFonts w:hint="eastAsia" w:eastAsiaTheme="minorEastAsia"/>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MS PGothic">
    <w:panose1 w:val="020B0600070205080204"/>
    <w:charset w:val="80"/>
    <w:family w:val="auto"/>
    <w:pitch w:val="default"/>
    <w:sig w:usb0="E00002FF" w:usb1="6AC7FDFB" w:usb2="08000012" w:usb3="00000000" w:csb0="4002009F" w:csb1="DFD7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0F5183"/>
    <w:multiLevelType w:val="multilevel"/>
    <w:tmpl w:val="8D0F518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9018CC50"/>
    <w:multiLevelType w:val="multilevel"/>
    <w:tmpl w:val="9018CC5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9856F184"/>
    <w:multiLevelType w:val="multilevel"/>
    <w:tmpl w:val="9856F18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A4FBA446"/>
    <w:multiLevelType w:val="multilevel"/>
    <w:tmpl w:val="A4FBA44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AC7DF997"/>
    <w:multiLevelType w:val="multilevel"/>
    <w:tmpl w:val="AC7DF99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B3AB4EA9"/>
    <w:multiLevelType w:val="multilevel"/>
    <w:tmpl w:val="B3AB4EA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BA14EE4B"/>
    <w:multiLevelType w:val="multilevel"/>
    <w:tmpl w:val="BA14EE4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BC7A75D8"/>
    <w:multiLevelType w:val="multilevel"/>
    <w:tmpl w:val="BC7A75D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BD46FCB6"/>
    <w:multiLevelType w:val="multilevel"/>
    <w:tmpl w:val="BD46FCB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DBE99CED"/>
    <w:multiLevelType w:val="multilevel"/>
    <w:tmpl w:val="DBE99CE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0">
    <w:nsid w:val="E13381CC"/>
    <w:multiLevelType w:val="multilevel"/>
    <w:tmpl w:val="E13381C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1">
    <w:nsid w:val="E8D9EFC6"/>
    <w:multiLevelType w:val="multilevel"/>
    <w:tmpl w:val="E8D9EFC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2">
    <w:nsid w:val="FBF2DCD1"/>
    <w:multiLevelType w:val="multilevel"/>
    <w:tmpl w:val="FBF2DCD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3">
    <w:nsid w:val="030D61E2"/>
    <w:multiLevelType w:val="multilevel"/>
    <w:tmpl w:val="030D61E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4">
    <w:nsid w:val="10EACDD1"/>
    <w:multiLevelType w:val="multilevel"/>
    <w:tmpl w:val="10EACDD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5">
    <w:nsid w:val="1B851629"/>
    <w:multiLevelType w:val="multilevel"/>
    <w:tmpl w:val="1B85162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6">
    <w:nsid w:val="1CCD87D0"/>
    <w:multiLevelType w:val="multilevel"/>
    <w:tmpl w:val="1CCD87D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7">
    <w:nsid w:val="28962FB8"/>
    <w:multiLevelType w:val="multilevel"/>
    <w:tmpl w:val="28962FB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8">
    <w:nsid w:val="2FBF9566"/>
    <w:multiLevelType w:val="multilevel"/>
    <w:tmpl w:val="2FBF956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9">
    <w:nsid w:val="414F4E5A"/>
    <w:multiLevelType w:val="multilevel"/>
    <w:tmpl w:val="414F4E5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0">
    <w:nsid w:val="4DBC3F53"/>
    <w:multiLevelType w:val="multilevel"/>
    <w:tmpl w:val="4DBC3F5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1">
    <w:nsid w:val="4E393476"/>
    <w:multiLevelType w:val="multilevel"/>
    <w:tmpl w:val="4E39347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2">
    <w:nsid w:val="57983F27"/>
    <w:multiLevelType w:val="multilevel"/>
    <w:tmpl w:val="57983F2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3">
    <w:nsid w:val="64067562"/>
    <w:multiLevelType w:val="multilevel"/>
    <w:tmpl w:val="6406756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4">
    <w:nsid w:val="6B9B366F"/>
    <w:multiLevelType w:val="multilevel"/>
    <w:tmpl w:val="6B9B366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5">
    <w:nsid w:val="7C37DE48"/>
    <w:multiLevelType w:val="multilevel"/>
    <w:tmpl w:val="7C37DE4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4"/>
  </w:num>
  <w:num w:numId="2">
    <w:abstractNumId w:val="14"/>
  </w:num>
  <w:num w:numId="3">
    <w:abstractNumId w:val="5"/>
  </w:num>
  <w:num w:numId="4">
    <w:abstractNumId w:val="17"/>
  </w:num>
  <w:num w:numId="5">
    <w:abstractNumId w:val="1"/>
  </w:num>
  <w:num w:numId="6">
    <w:abstractNumId w:val="2"/>
  </w:num>
  <w:num w:numId="7">
    <w:abstractNumId w:val="23"/>
  </w:num>
  <w:num w:numId="8">
    <w:abstractNumId w:val="8"/>
  </w:num>
  <w:num w:numId="9">
    <w:abstractNumId w:val="16"/>
  </w:num>
  <w:num w:numId="10">
    <w:abstractNumId w:val="12"/>
  </w:num>
  <w:num w:numId="11">
    <w:abstractNumId w:val="9"/>
  </w:num>
  <w:num w:numId="12">
    <w:abstractNumId w:val="10"/>
  </w:num>
  <w:num w:numId="13">
    <w:abstractNumId w:val="25"/>
  </w:num>
  <w:num w:numId="14">
    <w:abstractNumId w:val="7"/>
  </w:num>
  <w:num w:numId="15">
    <w:abstractNumId w:val="0"/>
  </w:num>
  <w:num w:numId="16">
    <w:abstractNumId w:val="24"/>
  </w:num>
  <w:num w:numId="17">
    <w:abstractNumId w:val="3"/>
  </w:num>
  <w:num w:numId="18">
    <w:abstractNumId w:val="11"/>
  </w:num>
  <w:num w:numId="19">
    <w:abstractNumId w:val="21"/>
  </w:num>
  <w:num w:numId="20">
    <w:abstractNumId w:val="19"/>
  </w:num>
  <w:num w:numId="21">
    <w:abstractNumId w:val="6"/>
  </w:num>
  <w:num w:numId="22">
    <w:abstractNumId w:val="18"/>
  </w:num>
  <w:num w:numId="23">
    <w:abstractNumId w:val="13"/>
  </w:num>
  <w:num w:numId="24">
    <w:abstractNumId w:val="15"/>
  </w:num>
  <w:num w:numId="25">
    <w:abstractNumId w:val="20"/>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304604"/>
    <w:rsid w:val="0A8541C7"/>
    <w:rsid w:val="20AF0F1C"/>
    <w:rsid w:val="36304604"/>
    <w:rsid w:val="77FF6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character" w:styleId="7">
    <w:name w:val="Strong"/>
    <w:basedOn w:val="6"/>
    <w:qFormat/>
    <w:uiPriority w:val="0"/>
    <w:rPr>
      <w:b/>
    </w:rPr>
  </w:style>
  <w:style w:type="character" w:styleId="8">
    <w:name w:val="HTML Code"/>
    <w:basedOn w:val="6"/>
    <w:uiPriority w:val="0"/>
    <w:rPr>
      <w:rFonts w:ascii="Courier New" w:hAnsi="Courier New"/>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1738</Words>
  <Characters>1931</Characters>
  <Lines>0</Lines>
  <Paragraphs>0</Paragraphs>
  <TotalTime>24</TotalTime>
  <ScaleCrop>false</ScaleCrop>
  <LinksUpToDate>false</LinksUpToDate>
  <CharactersWithSpaces>2032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2026-03-01T07:47:00Z</dcterms:created>
  <dc:creator>.</dc:creator>
  <cp:lastModifiedBy>.</cp:lastModifiedBy>
  <dcterms:modified xsi:type="dcterms:W3CDTF">2026-03-14T09:14:52Z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6DD0234BD85E4E9780953DD94AD51603_11</vt:lpwstr>
  </property>
  <property fmtid="{D5CDD505-2E9C-101B-9397-08002B2CF9AE}" pid="4" name="KSOTemplateDocerSaveRecord">
    <vt:lpwstr>eyJoZGlkIjoiMjg5M2Q5OGQ2YjUzYzA5ODJmZjMxMTE3M2FjZDdjMTUiLCJ1c2VySWQiOiIxODAzOTkzMDM4In0=</vt:lpwstr>
  </property>
</Properties>
</file>