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B5FD9D">
      <w:pPr>
        <w:widowControl/>
        <w:ind w:left="2891" w:hanging="2891" w:hangingChars="600"/>
        <w:jc w:val="left"/>
        <w:rPr>
          <w:rFonts w:hint="eastAsia" w:ascii="宋体" w:hAnsi="宋体" w:eastAsia="宋体" w:cs="宋体"/>
          <w:b/>
          <w:bCs/>
          <w:kern w:val="36"/>
          <w:sz w:val="48"/>
          <w:szCs w:val="48"/>
          <w:lang w:val="en-US" w:eastAsia="zh-CN"/>
        </w:rPr>
      </w:pPr>
      <w:r>
        <w:rPr>
          <w:rFonts w:ascii="宋体" w:hAnsi="宋体" w:eastAsia="宋体" w:cs="宋体"/>
          <w:b/>
          <w:bCs/>
          <w:kern w:val="36"/>
          <w:sz w:val="48"/>
          <w:szCs w:val="48"/>
        </w:rPr>
        <w:t>二次函数的图像、性质及实际应用探</w:t>
      </w:r>
      <w:r>
        <w:rPr>
          <w:rFonts w:hint="eastAsia" w:ascii="宋体" w:hAnsi="宋体" w:eastAsia="宋体" w:cs="宋体"/>
          <w:b/>
          <w:bCs/>
          <w:kern w:val="36"/>
          <w:sz w:val="48"/>
          <w:szCs w:val="48"/>
          <w:lang w:val="en-US" w:eastAsia="zh-CN"/>
        </w:rPr>
        <w:t>究</w:t>
      </w:r>
      <w:bookmarkStart w:id="0" w:name="_GoBack"/>
      <w:bookmarkEnd w:id="0"/>
    </w:p>
    <w:p w14:paraId="540AAE3B">
      <w:pPr>
        <w:widowControl/>
        <w:spacing w:before="100" w:beforeAutospacing="1" w:after="100" w:afterAutospacing="1"/>
        <w:ind w:firstLine="1446" w:firstLineChars="300"/>
        <w:jc w:val="left"/>
        <w:outlineLvl w:val="0"/>
        <w:rPr>
          <w:rFonts w:ascii="宋体" w:hAnsi="宋体" w:eastAsia="宋体" w:cs="宋体"/>
          <w:b/>
          <w:bCs/>
          <w:kern w:val="36"/>
          <w:sz w:val="48"/>
          <w:szCs w:val="48"/>
        </w:rPr>
      </w:pPr>
      <w:r>
        <w:rPr>
          <w:rFonts w:ascii="宋体" w:hAnsi="宋体" w:eastAsia="宋体" w:cs="宋体"/>
          <w:b/>
          <w:bCs/>
          <w:kern w:val="36"/>
          <w:sz w:val="48"/>
          <w:szCs w:val="48"/>
        </w:rPr>
        <w:t>第二部分 课题研究过程</w:t>
      </w:r>
    </w:p>
    <w:p w14:paraId="38CAFCB4">
      <w:pPr>
        <w:widowControl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本课题严格遵循前期筹备、中期探究、后期完善的闭环研究思路，紧扣开题报告设定的研究目标、内容与进度安排，依托小组协作、数形结合、案例实操等方法，有序推进各项研究工作，全程做好过程记录、资料归集与反思优化，确保研究落地见效。</w:t>
      </w:r>
    </w:p>
    <w:p w14:paraId="5E4D551D">
      <w:pPr>
        <w:widowControl/>
        <w:spacing w:before="100" w:beforeAutospacing="1" w:after="100" w:afterAutospacing="1"/>
        <w:jc w:val="left"/>
        <w:outlineLvl w:val="1"/>
        <w:rPr>
          <w:rFonts w:ascii="宋体" w:hAnsi="宋体" w:eastAsia="宋体" w:cs="宋体"/>
          <w:b/>
          <w:bCs/>
          <w:kern w:val="0"/>
          <w:sz w:val="36"/>
          <w:szCs w:val="36"/>
        </w:rPr>
      </w:pPr>
      <w:r>
        <w:rPr>
          <w:rFonts w:ascii="宋体" w:hAnsi="宋体" w:eastAsia="宋体" w:cs="宋体"/>
          <w:b/>
          <w:bCs/>
          <w:kern w:val="0"/>
          <w:sz w:val="36"/>
          <w:szCs w:val="36"/>
        </w:rPr>
        <w:t>一、前期准备阶段：夯实理论基础，明晰研究路径</w:t>
      </w:r>
    </w:p>
    <w:p w14:paraId="0CC609F6">
      <w:pPr>
        <w:widowControl/>
        <w:ind w:firstLine="240" w:firstLineChars="1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在此阶段，课题组集中研读人教版九年级数学上册二次函数教材、中考数学专项教辅及学科参考资料，搭建系统化知识框架，明确核心研究方向与实施路径；同时梳理预习阶段、基础学习阶段的共性疑点与难点问题，形成专项问题清单，针对性制定攻坚计划，为后续深度探究、突破重难点奠定坚实的理论与实践基础。</w:t>
      </w:r>
    </w:p>
    <w:p w14:paraId="2478E462">
      <w:pPr>
        <w:widowControl/>
        <w:spacing w:before="100" w:beforeAutospacing="1" w:after="100" w:afterAutospacing="1"/>
        <w:jc w:val="left"/>
        <w:outlineLvl w:val="1"/>
        <w:rPr>
          <w:rFonts w:ascii="宋体" w:hAnsi="宋体" w:eastAsia="宋体" w:cs="宋体"/>
          <w:b/>
          <w:bCs/>
          <w:kern w:val="0"/>
          <w:sz w:val="36"/>
          <w:szCs w:val="36"/>
        </w:rPr>
      </w:pPr>
      <w:r>
        <w:rPr>
          <w:rFonts w:ascii="宋体" w:hAnsi="宋体" w:eastAsia="宋体" w:cs="宋体"/>
          <w:b/>
          <w:bCs/>
          <w:kern w:val="0"/>
          <w:sz w:val="36"/>
          <w:szCs w:val="36"/>
        </w:rPr>
        <w:t>二、中期探究阶段：深化理论研究，践行数形结合</w:t>
      </w:r>
    </w:p>
    <w:p w14:paraId="4CDE380D">
      <w:pPr>
        <w:widowControl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中期探究为课题核心攻坚阶段，课题组紧扣研究内容，分四大模块逐层推进，以理论剖析为基础、以实操训练为抓手，深度落实数形结合思想，攻克各类研究难点。</w:t>
      </w:r>
    </w:p>
    <w:p w14:paraId="04192A43">
      <w:pPr>
        <w:widowControl/>
        <w:spacing w:before="100" w:beforeAutospacing="1" w:after="100" w:afterAutospacing="1"/>
        <w:jc w:val="left"/>
        <w:outlineLvl w:val="2"/>
        <w:rPr>
          <w:rFonts w:ascii="宋体" w:hAnsi="宋体" w:eastAsia="宋体" w:cs="宋体"/>
          <w:b/>
          <w:bCs/>
          <w:kern w:val="0"/>
          <w:sz w:val="27"/>
          <w:szCs w:val="27"/>
        </w:rPr>
      </w:pPr>
      <w:r>
        <w:rPr>
          <w:rFonts w:ascii="宋体" w:hAnsi="宋体" w:eastAsia="宋体" w:cs="宋体"/>
          <w:b/>
          <w:bCs/>
          <w:kern w:val="0"/>
          <w:sz w:val="27"/>
          <w:szCs w:val="27"/>
        </w:rPr>
        <w:t>阶段1：二次函数基础概念与表达式研究</w:t>
      </w:r>
    </w:p>
    <w:p w14:paraId="5476F028">
      <w:pPr>
        <w:widowControl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课题组采用对比研究法，对标一次函数、反比例函数的定义、解析式特征与图像性质，归纳提炼二次函数严谨定义：形如$$y=ax^2+bx+c$$（其中$$a≠0$$，$$a、b、c$$为常数）的函数称作二次函数，明确二次项系数不为0的核心判定条件。通过多组例题实操训练，熟练掌握一般式、顶点式$$y=a(x-h)^2+k$$、交点式$$y=a(x-x_1)(x-x_2)$$的结构特点与适用场景，重点突破配方法转化技巧，实现一般式与顶点式的灵活互化；明晰顶点式在快速定位对称轴$$x=h$$、顶点坐标$$(h,k)$$中的优势，提升解题效率。</w:t>
      </w:r>
    </w:p>
    <w:p w14:paraId="71E801A0">
      <w:pPr>
        <w:widowControl/>
        <w:spacing w:before="100" w:beforeAutospacing="1" w:after="100" w:afterAutospacing="1"/>
        <w:jc w:val="left"/>
        <w:outlineLvl w:val="2"/>
        <w:rPr>
          <w:rFonts w:ascii="宋体" w:hAnsi="宋体" w:eastAsia="宋体" w:cs="宋体"/>
          <w:b/>
          <w:bCs/>
          <w:kern w:val="0"/>
          <w:sz w:val="27"/>
          <w:szCs w:val="27"/>
        </w:rPr>
      </w:pPr>
      <w:r>
        <w:rPr>
          <w:rFonts w:ascii="宋体" w:hAnsi="宋体" w:eastAsia="宋体" w:cs="宋体"/>
          <w:b/>
          <w:bCs/>
          <w:kern w:val="0"/>
          <w:sz w:val="27"/>
          <w:szCs w:val="27"/>
        </w:rPr>
        <w:t>阶段2：二次函数图像与性质研究</w:t>
      </w:r>
    </w:p>
    <w:p w14:paraId="6C9341D2">
      <w:pPr>
        <w:widowControl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本阶段以数形结合分析法为核心手段，采用规范描点法绘制不同参数取值的抛物线图像，通过分组对比、归纳总结，剖析参数$$a、b、c$$对抛物线形态与位置的调控机制：</w:t>
      </w:r>
    </w:p>
    <w:p w14:paraId="6851084D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参数$$a$$：决定抛物线开口方向（$$a&gt;0$$开口向上，$$a&lt;0$$开口向下），同时管控开口宽窄程度（$$|a|$$越大，抛物线开口越窄，图像越陡峭）；</w:t>
      </w:r>
    </w:p>
    <w:p w14:paraId="07B86B49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对称轴：由参数$$a、b$$共同决定，标准化求解公式为$$x=-\frac{b}{2a}$$，结合图像验证对称轴位置与参数的关联规律；</w:t>
      </w:r>
    </w:p>
    <w:p w14:paraId="48F885EB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参数$$c$$：直接决定抛物线与y轴交点坐标为$$(0,c)$$，是实现代数与几何快速关联的关键参数。</w:t>
      </w:r>
    </w:p>
    <w:p w14:paraId="01365D45">
      <w:pPr>
        <w:widowControl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在此基础上，课题组系统总结抛物线的单调性、最值规律，梳理不同开口方向下函数的增减区间；建立抛物线与x轴交点个数和一元二次方程根的判别式$$\Delta=b^2-4ac$$的对应关系，形成“判别式符号—交点个数—方程根的情况”的联动判断体系，夯实综合解题基础。</w:t>
      </w:r>
    </w:p>
    <w:p w14:paraId="1DA4CBD4">
      <w:pPr>
        <w:widowControl/>
        <w:spacing w:before="100" w:beforeAutospacing="1" w:after="100" w:afterAutospacing="1"/>
        <w:jc w:val="left"/>
        <w:outlineLvl w:val="2"/>
        <w:rPr>
          <w:rFonts w:ascii="宋体" w:hAnsi="宋体" w:eastAsia="宋体" w:cs="宋体"/>
          <w:b/>
          <w:bCs/>
          <w:kern w:val="0"/>
          <w:sz w:val="27"/>
          <w:szCs w:val="27"/>
        </w:rPr>
      </w:pPr>
      <w:r>
        <w:rPr>
          <w:rFonts w:ascii="宋体" w:hAnsi="宋体" w:eastAsia="宋体" w:cs="宋体"/>
          <w:b/>
          <w:bCs/>
          <w:kern w:val="0"/>
          <w:sz w:val="27"/>
          <w:szCs w:val="27"/>
        </w:rPr>
        <w:t>阶段3：二次函数图像变换与综合应用研究</w:t>
      </w:r>
    </w:p>
    <w:p w14:paraId="562C3A7D">
      <w:pPr>
        <w:widowControl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课题组通过绘制图像变换前后的抛物线，对比解析式变化规律，归纳总结平移法则“左加右减、上加下减”，并结合顶点位移逻辑拆解规律本质，规避符号混淆问题；针对轴对称、中心旋转变换，依托坐标变换原理，梳理解题步骤与解析式变形逻辑，形成标准化解题流程。</w:t>
      </w:r>
    </w:p>
    <w:p w14:paraId="79CCB4C5"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同时，深度探究二次函数与一元二次方程、一元二次不等式的内在逻辑关联，构建图像法求解方程根、不等式解集的解题模型，实现“以形解数、以数析形”，突破函数与方程、不等式综合类题目难点，提升跨知识模块解题能力。</w:t>
      </w:r>
    </w:p>
    <w:p w14:paraId="3D3FEC8B">
      <w:pPr>
        <w:widowControl/>
        <w:spacing w:before="100" w:beforeAutospacing="1" w:after="100" w:afterAutospacing="1"/>
        <w:jc w:val="left"/>
        <w:outlineLvl w:val="2"/>
        <w:rPr>
          <w:rFonts w:ascii="宋体" w:hAnsi="宋体" w:eastAsia="宋体" w:cs="宋体"/>
          <w:b/>
          <w:bCs/>
          <w:kern w:val="0"/>
          <w:sz w:val="27"/>
          <w:szCs w:val="27"/>
        </w:rPr>
      </w:pPr>
      <w:r>
        <w:rPr>
          <w:rFonts w:ascii="宋体" w:hAnsi="宋体" w:eastAsia="宋体" w:cs="宋体"/>
          <w:b/>
          <w:bCs/>
          <w:kern w:val="0"/>
          <w:sz w:val="27"/>
          <w:szCs w:val="27"/>
        </w:rPr>
        <w:t>阶段4：二次函数实际建模研究</w:t>
      </w:r>
    </w:p>
    <w:p w14:paraId="58625774">
      <w:pPr>
        <w:widowControl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课题组广泛搜集经济利润优化、拱桥几何设计、抛体运动轨迹、园林喷水装置等生活化、工程化实际案例，紧扣数学建模核心思路，遵循“审题界定变量→梳理等量关系→构建函数关系式→求解函数解析式→分析性质推导结论→验证结果合理性”的完整流程，开展实操演练。重点突破自变量取值范围界定、限定定义域内最值求解两大易错点，结合实际场景约束条件，规范分类讨论思路，切实提升数学建模与实践应用能力。</w:t>
      </w:r>
    </w:p>
    <w:p w14:paraId="4FC1D781">
      <w:pPr>
        <w:widowControl/>
        <w:spacing w:before="100" w:beforeAutospacing="1" w:after="100" w:afterAutospacing="1"/>
        <w:jc w:val="left"/>
        <w:outlineLvl w:val="1"/>
        <w:rPr>
          <w:rFonts w:ascii="宋体" w:hAnsi="宋体" w:eastAsia="宋体" w:cs="宋体"/>
          <w:b/>
          <w:bCs/>
          <w:kern w:val="0"/>
          <w:sz w:val="36"/>
          <w:szCs w:val="36"/>
        </w:rPr>
      </w:pPr>
      <w:r>
        <w:rPr>
          <w:rFonts w:ascii="宋体" w:hAnsi="宋体" w:eastAsia="宋体" w:cs="宋体"/>
          <w:b/>
          <w:bCs/>
          <w:kern w:val="0"/>
          <w:sz w:val="36"/>
          <w:szCs w:val="36"/>
        </w:rPr>
        <w:t>三、后期完善阶段：查漏补缺纠错，整合研究成果</w:t>
      </w:r>
    </w:p>
    <w:p w14:paraId="5A754BF3">
      <w:pPr>
        <w:widowControl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课题研究尾声，课题组针对中期探究过程中暴露的共性问题与薄弱环节，开展集中复盘、专项纠错与巩固提升：聚焦配方法运算误差、图像平移符号混淆、实际建模条件遗漏、分类讨论不全面等问题，通过错题重做、小组互讲、答疑研讨、专项训练等方式，夯实知识体系、弥补学习漏洞。</w:t>
      </w:r>
    </w:p>
    <w:p w14:paraId="60EF8C2E"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同时，课题组对全周期研究资料进行系统归集整理，涵盖研究笔记、例题解析、思维导图、错题汇编、过程记录等材料，分类归档、提炼核心结论与解题技巧；整合各类研究成果，优化成果呈现形式，为结题报告撰写、成果展示做好充分准备，确保研究成果条理化、规范化。</w:t>
      </w:r>
    </w:p>
    <w:p w14:paraId="60E1B7EC">
      <w:pPr>
        <w:widowControl/>
        <w:spacing w:before="100" w:beforeAutospacing="1" w:after="100" w:afterAutospacing="1"/>
        <w:jc w:val="left"/>
        <w:outlineLvl w:val="1"/>
        <w:rPr>
          <w:rFonts w:ascii="宋体" w:hAnsi="宋体" w:eastAsia="宋体" w:cs="宋体"/>
          <w:b/>
          <w:bCs/>
          <w:kern w:val="0"/>
          <w:sz w:val="36"/>
          <w:szCs w:val="36"/>
        </w:rPr>
      </w:pPr>
      <w:r>
        <w:rPr>
          <w:rFonts w:ascii="宋体" w:hAnsi="宋体" w:eastAsia="宋体" w:cs="宋体"/>
          <w:b/>
          <w:bCs/>
          <w:kern w:val="0"/>
          <w:sz w:val="36"/>
          <w:szCs w:val="36"/>
        </w:rPr>
        <w:t>四、研究问题与解决方案</w:t>
      </w:r>
    </w:p>
    <w:p w14:paraId="4E59B233">
      <w:pPr>
        <w:widowControl/>
        <w:ind w:firstLine="720" w:firstLineChars="3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课题研究过程中，课题组直面各类实操难点与知识盲区，建立“发现问题—分析成因—制定对策—落地整改”的闭环机制，针对性破解研究阻碍，保障研究顺利推进，具体问题与解决方案如下：</w:t>
      </w:r>
    </w:p>
    <w:p w14:paraId="621623B8">
      <w:pPr>
        <w:widowControl/>
        <w:numPr>
          <w:ilvl w:val="0"/>
          <w:numId w:val="2"/>
        </w:numPr>
        <w:spacing w:before="100" w:beforeAutospacing="1" w:after="100" w:afterAutospacing="1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b/>
          <w:bCs/>
          <w:kern w:val="0"/>
          <w:sz w:val="24"/>
          <w:szCs w:val="24"/>
        </w:rPr>
        <w:t>问题1：配方法转化顶点式步骤繁琐，计算失误率较高</w:t>
      </w:r>
    </w:p>
    <w:p w14:paraId="066537D8">
      <w:pPr>
        <w:widowControl/>
        <w:numPr>
          <w:ilvl w:val="0"/>
          <w:numId w:val="2"/>
        </w:numPr>
        <w:spacing w:before="100" w:beforeAutospacing="1" w:after="100" w:afterAutospacing="1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成因分析：对配方法恒等变形原理理解不透彻，步骤规范性不足，粗心运算导致误差。</w:t>
      </w:r>
    </w:p>
    <w:p w14:paraId="741BFF74">
      <w:pPr>
        <w:widowControl/>
        <w:numPr>
          <w:ilvl w:val="0"/>
          <w:numId w:val="2"/>
        </w:numPr>
        <w:spacing w:before="100" w:beforeAutospacing="1" w:after="100" w:afterAutospacing="1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解决方案：总结配方法标准化运算口诀，细化操作步骤；强化专项限时训练，提升运算熟练度；结合顶点坐标公式$$\left(-\frac{b}{2a},\frac{4ac-b^2}{4a}\right)$$进行双向验算，确保结果准确。</w:t>
      </w:r>
    </w:p>
    <w:p w14:paraId="712408DD">
      <w:pPr>
        <w:widowControl/>
        <w:numPr>
          <w:ilvl w:val="0"/>
          <w:numId w:val="2"/>
        </w:numPr>
        <w:spacing w:before="100" w:beforeAutospacing="1" w:after="100" w:afterAutospacing="1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b/>
          <w:bCs/>
          <w:kern w:val="0"/>
          <w:sz w:val="24"/>
          <w:szCs w:val="24"/>
        </w:rPr>
        <w:t>问题2：图像平移规律理解模糊，左右平移易混淆符号</w:t>
      </w:r>
    </w:p>
    <w:p w14:paraId="0E74ECB7">
      <w:pPr>
        <w:widowControl/>
        <w:numPr>
          <w:ilvl w:val="0"/>
          <w:numId w:val="2"/>
        </w:numPr>
        <w:spacing w:before="100" w:beforeAutospacing="1" w:after="100" w:afterAutospacing="1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成因分析：仅机械记忆口诀，未洞悉平移规律本质，对自变量变化逻辑认知不足。</w:t>
      </w:r>
    </w:p>
    <w:p w14:paraId="36A9E7A5">
      <w:pPr>
        <w:widowControl/>
        <w:numPr>
          <w:ilvl w:val="0"/>
          <w:numId w:val="2"/>
        </w:numPr>
        <w:spacing w:before="100" w:beforeAutospacing="1" w:after="100" w:afterAutospacing="1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解决方案：摒弃单纯记忆模式，结合顶点坐标位移规律解构平移逻辑；绘制平移前后对比图像，强化直观认知；建立“顶点定位法”解题思路，先确定顶点平移轨迹，再推导解析式变化，从本质上掌握规律。</w:t>
      </w:r>
    </w:p>
    <w:p w14:paraId="2F288381">
      <w:pPr>
        <w:widowControl/>
        <w:numPr>
          <w:ilvl w:val="0"/>
          <w:numId w:val="2"/>
        </w:numPr>
        <w:spacing w:before="100" w:beforeAutospacing="1" w:after="100" w:afterAutospacing="1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b/>
          <w:bCs/>
          <w:kern w:val="0"/>
          <w:sz w:val="24"/>
          <w:szCs w:val="24"/>
        </w:rPr>
        <w:t>问题3：实际应用题等量关系挖掘困难，建模难度大</w:t>
      </w:r>
    </w:p>
    <w:p w14:paraId="4049A82E">
      <w:pPr>
        <w:widowControl/>
        <w:numPr>
          <w:ilvl w:val="0"/>
          <w:numId w:val="2"/>
        </w:numPr>
        <w:spacing w:before="100" w:beforeAutospacing="1" w:after="100" w:afterAutospacing="1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成因分析：审题抓不住关键信息，变量逻辑梳理不清，缺乏建模思路迁移能力。</w:t>
      </w:r>
    </w:p>
    <w:p w14:paraId="64C5CF04">
      <w:pPr>
        <w:widowControl/>
        <w:numPr>
          <w:ilvl w:val="0"/>
          <w:numId w:val="2"/>
        </w:numPr>
        <w:spacing w:before="100" w:beforeAutospacing="1" w:after="100" w:afterAutospacing="1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解决方案：推行题干关键信息标注法，拆分数据、条件与问题；梳理各类实际场景的变量关系模型，借鉴典型案例思路开展迁移训练；小组协作拆解题意，互助梳理等量关系，逐步提升建模能力。</w:t>
      </w:r>
    </w:p>
    <w:p w14:paraId="137EBCFE">
      <w:pPr>
        <w:snapToGrid w:val="0"/>
        <w:spacing w:line="360" w:lineRule="auto"/>
        <w:ind w:left="5218" w:leftChars="2185" w:hanging="630" w:hangingChars="300"/>
        <w:rPr>
          <w:rFonts w:ascii="Times New Roman" w:hAnsi="Times New Roman" w:eastAsia="黑体" w:cs="Times New Roman"/>
          <w:sz w:val="24"/>
          <w:szCs w:val="32"/>
        </w:rPr>
      </w:pPr>
      <w:r>
        <w:rPr>
          <w:rFonts w:hint="eastAsia"/>
        </w:rPr>
        <w:t xml:space="preserve"> </w:t>
      </w:r>
      <w:r>
        <w:t xml:space="preserve">                                                         </w:t>
      </w:r>
      <w:r>
        <w:rPr>
          <w:rFonts w:ascii="Times New Roman" w:hAnsi="Times New Roman" w:eastAsia="黑体" w:cs="Times New Roman"/>
          <w:sz w:val="24"/>
          <w:szCs w:val="32"/>
        </w:rPr>
        <w:t>课题组成员：程子洋</w:t>
      </w:r>
    </w:p>
    <w:p w14:paraId="0025299B">
      <w:pPr>
        <w:snapToGrid w:val="0"/>
        <w:spacing w:line="360" w:lineRule="auto"/>
        <w:ind w:firstLine="5244" w:firstLineChars="2185"/>
        <w:rPr>
          <w:rFonts w:ascii="Times New Roman" w:hAnsi="Times New Roman" w:eastAsia="黑体" w:cs="Times New Roman"/>
          <w:sz w:val="24"/>
          <w:szCs w:val="32"/>
        </w:rPr>
      </w:pPr>
      <w:r>
        <w:rPr>
          <w:rFonts w:ascii="Times New Roman" w:hAnsi="Times New Roman" w:eastAsia="黑体" w:cs="Times New Roman"/>
          <w:sz w:val="24"/>
          <w:szCs w:val="32"/>
        </w:rPr>
        <w:t>指导教师：崔金环</w:t>
      </w:r>
    </w:p>
    <w:p w14:paraId="2CB9BDCE">
      <w:pPr>
        <w:snapToGrid w:val="0"/>
        <w:spacing w:line="360" w:lineRule="auto"/>
        <w:ind w:firstLine="5244" w:firstLineChars="2185"/>
        <w:rPr>
          <w:rFonts w:ascii="Times New Roman" w:hAnsi="Times New Roman" w:eastAsia="黑体" w:cs="Times New Roman"/>
          <w:sz w:val="24"/>
          <w:szCs w:val="32"/>
        </w:rPr>
      </w:pPr>
      <w:r>
        <w:rPr>
          <w:rFonts w:hint="eastAsia" w:ascii="Times New Roman" w:hAnsi="Times New Roman" w:eastAsia="黑体" w:cs="Times New Roman"/>
          <w:sz w:val="24"/>
          <w:szCs w:val="32"/>
        </w:rPr>
        <w:t>学校：中国矿业大学附中</w:t>
      </w:r>
    </w:p>
    <w:p w14:paraId="6CB35EE7">
      <w:pPr>
        <w:snapToGrid w:val="0"/>
        <w:spacing w:line="360" w:lineRule="auto"/>
        <w:ind w:firstLine="5244" w:firstLineChars="2185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>日期：2026年3月6日</w:t>
      </w:r>
    </w:p>
    <w:p w14:paraId="569C974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144B40"/>
    <w:multiLevelType w:val="multilevel"/>
    <w:tmpl w:val="58144B40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>
    <w:nsid w:val="7CA517E3"/>
    <w:multiLevelType w:val="multilevel"/>
    <w:tmpl w:val="7CA517E3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1391"/>
    <w:rsid w:val="00567B67"/>
    <w:rsid w:val="00621391"/>
    <w:rsid w:val="006E06AF"/>
    <w:rsid w:val="00783CA9"/>
    <w:rsid w:val="00BC0EC7"/>
    <w:rsid w:val="00CE231E"/>
    <w:rsid w:val="00ED7257"/>
    <w:rsid w:val="6F392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2215</Words>
  <Characters>2414</Characters>
  <Lines>17</Lines>
  <Paragraphs>5</Paragraphs>
  <TotalTime>5</TotalTime>
  <ScaleCrop>false</ScaleCrop>
  <LinksUpToDate>false</LinksUpToDate>
  <CharactersWithSpaces>2473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2026-03-12T03:09:00Z</dcterms:created>
  <dc:creator>wang</dc:creator>
  <cp:lastModifiedBy>张秀全</cp:lastModifiedBy>
  <dcterms:modified xsi:type="dcterms:W3CDTF">2026-03-18T07:40:07Z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eyJoZGlkIjoiODgxMjIxNDc0OGQ4MGE2OWUzZjU0OGYxOTM2MGI3ZTUiLCJ1c2VySWQiOiIxNjkyNzQyMzkyIn0=</vt:lpwstr>
  </property>
  <property fmtid="{D5CDD505-2E9C-101B-9397-08002B2CF9AE}" pid="3" name="KSOProductBuildVer">
    <vt:lpwstr>2052-12.1.0.23542</vt:lpwstr>
  </property>
  <property fmtid="{D5CDD505-2E9C-101B-9397-08002B2CF9AE}" pid="4" name="ICV">
    <vt:lpwstr>7419904E0C56410D9FED651A7FCAB7DF_12</vt:lpwstr>
  </property>
</Properties>
</file>