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22788B">
      <w:pPr>
        <w:widowControl/>
        <w:ind w:left="2891" w:hanging="2891" w:hangingChars="600"/>
        <w:jc w:val="left"/>
        <w:rPr>
          <w:rFonts w:ascii="宋体" w:hAnsi="宋体" w:eastAsia="宋体" w:cs="宋体"/>
          <w:b/>
          <w:bCs/>
          <w:kern w:val="36"/>
          <w:sz w:val="48"/>
          <w:szCs w:val="48"/>
        </w:rPr>
      </w:pPr>
      <w:r>
        <w:rPr>
          <w:rFonts w:ascii="宋体" w:hAnsi="宋体" w:eastAsia="宋体" w:cs="宋体"/>
          <w:b/>
          <w:bCs/>
          <w:kern w:val="36"/>
          <w:sz w:val="48"/>
          <w:szCs w:val="48"/>
        </w:rPr>
        <w:t>二次函数的图像、性质及实际应用探</w:t>
      </w:r>
      <w:r>
        <w:rPr>
          <w:rFonts w:hint="eastAsia" w:ascii="宋体" w:hAnsi="宋体" w:eastAsia="宋体" w:cs="宋体"/>
          <w:b/>
          <w:bCs/>
          <w:kern w:val="36"/>
          <w:sz w:val="48"/>
          <w:szCs w:val="48"/>
          <w:lang w:val="en-US" w:eastAsia="zh-CN"/>
        </w:rPr>
        <w:t>究</w:t>
      </w:r>
      <w:bookmarkStart w:id="0" w:name="_GoBack"/>
      <w:bookmarkEnd w:id="0"/>
    </w:p>
    <w:p w14:paraId="13162B69">
      <w:pPr>
        <w:widowControl/>
        <w:spacing w:before="100" w:beforeAutospacing="1" w:after="100" w:afterAutospacing="1"/>
        <w:ind w:firstLine="964" w:firstLineChars="200"/>
        <w:jc w:val="left"/>
        <w:outlineLvl w:val="0"/>
        <w:rPr>
          <w:rFonts w:ascii="宋体" w:hAnsi="宋体" w:eastAsia="宋体" w:cs="宋体"/>
          <w:b/>
          <w:bCs/>
          <w:kern w:val="36"/>
          <w:sz w:val="48"/>
          <w:szCs w:val="48"/>
        </w:rPr>
      </w:pPr>
      <w:r>
        <w:rPr>
          <w:rFonts w:ascii="宋体" w:hAnsi="宋体" w:eastAsia="宋体" w:cs="宋体"/>
          <w:b/>
          <w:bCs/>
          <w:kern w:val="36"/>
          <w:sz w:val="48"/>
          <w:szCs w:val="48"/>
        </w:rPr>
        <w:t>第三部分 课题结题报告</w:t>
      </w:r>
    </w:p>
    <w:p w14:paraId="548C0747">
      <w:pPr>
        <w:widowControl/>
        <w:spacing w:before="100" w:beforeAutospacing="1" w:after="100" w:afterAutospacing="1"/>
        <w:jc w:val="left"/>
        <w:outlineLvl w:val="1"/>
        <w:rPr>
          <w:rFonts w:ascii="宋体" w:hAnsi="宋体" w:eastAsia="宋体" w:cs="宋体"/>
          <w:b/>
          <w:bCs/>
          <w:kern w:val="0"/>
          <w:sz w:val="36"/>
          <w:szCs w:val="36"/>
        </w:rPr>
      </w:pPr>
      <w:r>
        <w:rPr>
          <w:rFonts w:ascii="宋体" w:hAnsi="宋体" w:eastAsia="宋体" w:cs="宋体"/>
          <w:b/>
          <w:bCs/>
          <w:kern w:val="0"/>
          <w:sz w:val="36"/>
          <w:szCs w:val="36"/>
        </w:rPr>
        <w:t>一、课题概况</w:t>
      </w:r>
    </w:p>
    <w:p w14:paraId="1B00081C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本课题以人教版初中数学九年级二次函数模块为核心研究对象，聚焦二次函数基础理论、图像性质、变换规律及实际应用四大维度开展系统性探究，旨在破解初中生二次函数学习痛点、完善函数知识体系、培育数学核心素养。课题严格遵循既定方案实施，研究周期共计6周，依次历经筹备启动、理论深耕、实践攻坚、总结完善四个阶段，全程依托文献研究、数形结合、案例探究、小组协作等方法有序推进，圆满完成预设研究目标，形成了系统化、规范化的研究成果，实现了理论夯实与能力提升的双重成效。</w:t>
      </w:r>
    </w:p>
    <w:p w14:paraId="6B43E16D">
      <w:pPr>
        <w:widowControl/>
        <w:spacing w:before="100" w:beforeAutospacing="1" w:after="100" w:afterAutospacing="1"/>
        <w:jc w:val="left"/>
        <w:outlineLvl w:val="1"/>
        <w:rPr>
          <w:rFonts w:ascii="宋体" w:hAnsi="宋体" w:eastAsia="宋体" w:cs="宋体"/>
          <w:b/>
          <w:bCs/>
          <w:kern w:val="0"/>
          <w:sz w:val="36"/>
          <w:szCs w:val="36"/>
        </w:rPr>
      </w:pPr>
      <w:r>
        <w:rPr>
          <w:rFonts w:ascii="宋体" w:hAnsi="宋体" w:eastAsia="宋体" w:cs="宋体"/>
          <w:b/>
          <w:bCs/>
          <w:kern w:val="0"/>
          <w:sz w:val="36"/>
          <w:szCs w:val="36"/>
        </w:rPr>
        <w:t>二、核心研究成果</w:t>
      </w:r>
    </w:p>
    <w:p w14:paraId="262C08D6">
      <w:pPr>
        <w:widowControl/>
        <w:spacing w:before="100" w:beforeAutospacing="1" w:after="100" w:afterAutospacing="1"/>
        <w:jc w:val="left"/>
        <w:outlineLvl w:val="2"/>
        <w:rPr>
          <w:rFonts w:ascii="宋体" w:hAnsi="宋体" w:eastAsia="宋体" w:cs="宋体"/>
          <w:b/>
          <w:bCs/>
          <w:kern w:val="0"/>
          <w:sz w:val="27"/>
          <w:szCs w:val="27"/>
        </w:rPr>
      </w:pPr>
      <w:r>
        <w:rPr>
          <w:rFonts w:ascii="宋体" w:hAnsi="宋体" w:eastAsia="宋体" w:cs="宋体"/>
          <w:b/>
          <w:bCs/>
          <w:kern w:val="0"/>
          <w:sz w:val="27"/>
          <w:szCs w:val="27"/>
        </w:rPr>
        <w:t>（一）理论知识成果：构建系统化知识体系</w:t>
      </w:r>
    </w:p>
    <w:p w14:paraId="025BC580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本课题全面梳理二次函数理论脉络，形成条理清晰、逻辑严谨的知识框架，攻克多项基础与核心知识点，具体成果如下：</w:t>
      </w:r>
    </w:p>
    <w:p w14:paraId="15B4651E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b/>
          <w:bCs/>
          <w:kern w:val="0"/>
          <w:sz w:val="24"/>
          <w:szCs w:val="24"/>
        </w:rPr>
        <w:t>二次函数定义与表达式体系</w:t>
      </w:r>
      <w:r>
        <w:rPr>
          <w:rFonts w:ascii="宋体" w:hAnsi="宋体" w:eastAsia="宋体" w:cs="宋体"/>
          <w:kern w:val="0"/>
          <w:sz w:val="24"/>
          <w:szCs w:val="24"/>
        </w:rPr>
        <w:t>：明确二次函数$$y=ax^2+bx+c（a≠0）$$的判定标准，厘清三类表达式的结构特征、参数意义与场景适配逻辑，实现灵活互化。</w:t>
      </w:r>
    </w:p>
    <w:p w14:paraId="4497EA6B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 xml:space="preserve">        </w:t>
      </w:r>
    </w:p>
    <w:p w14:paraId="1308F665">
      <w:pPr>
        <w:widowControl/>
        <w:numPr>
          <w:ilvl w:val="1"/>
          <w:numId w:val="1"/>
        </w:numPr>
        <w:spacing w:before="100" w:beforeAutospacing="1" w:after="100" w:afterAutospacing="1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b/>
          <w:bCs/>
          <w:kern w:val="0"/>
          <w:sz w:val="24"/>
          <w:szCs w:val="24"/>
        </w:rPr>
        <w:t>一般式</w:t>
      </w:r>
      <w:r>
        <w:rPr>
          <w:rFonts w:ascii="宋体" w:hAnsi="宋体" w:eastAsia="宋体" w:cs="宋体"/>
          <w:kern w:val="0"/>
          <w:sz w:val="24"/>
          <w:szCs w:val="24"/>
        </w:rPr>
        <w:t>：$$y=ax^2+bx+c(a≠0)$$，适用于已知抛物线上任意三点坐标的求解场景，通用性极强；</w:t>
      </w:r>
    </w:p>
    <w:p w14:paraId="59E14D44">
      <w:pPr>
        <w:widowControl/>
        <w:numPr>
          <w:ilvl w:val="1"/>
          <w:numId w:val="1"/>
        </w:numPr>
        <w:spacing w:before="100" w:beforeAutospacing="1" w:after="100" w:afterAutospacing="1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b/>
          <w:bCs/>
          <w:kern w:val="0"/>
          <w:sz w:val="24"/>
          <w:szCs w:val="24"/>
        </w:rPr>
        <w:t>顶点式</w:t>
      </w:r>
      <w:r>
        <w:rPr>
          <w:rFonts w:ascii="宋体" w:hAnsi="宋体" w:eastAsia="宋体" w:cs="宋体"/>
          <w:kern w:val="0"/>
          <w:sz w:val="24"/>
          <w:szCs w:val="24"/>
        </w:rPr>
        <w:t>：$$y=a(x-h)^2+k(a≠0)$$，适用于已知顶点、对称轴或最值的场景，可快速定位图像核心特征；</w:t>
      </w:r>
    </w:p>
    <w:p w14:paraId="335E1BF8">
      <w:pPr>
        <w:widowControl/>
        <w:numPr>
          <w:ilvl w:val="1"/>
          <w:numId w:val="1"/>
        </w:numPr>
        <w:spacing w:before="100" w:beforeAutospacing="1" w:after="100" w:afterAutospacing="1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b/>
          <w:bCs/>
          <w:kern w:val="0"/>
          <w:sz w:val="24"/>
          <w:szCs w:val="24"/>
        </w:rPr>
        <w:t>交点式</w:t>
      </w:r>
      <w:r>
        <w:rPr>
          <w:rFonts w:ascii="宋体" w:hAnsi="宋体" w:eastAsia="宋体" w:cs="宋体"/>
          <w:kern w:val="0"/>
          <w:sz w:val="24"/>
          <w:szCs w:val="24"/>
        </w:rPr>
        <w:t>：$$y=a(x-x_1)(x-x_2)(a≠0)$$，适用于已知抛物线与x轴两交点坐标的场景，大幅简化运算步骤。</w:t>
      </w:r>
    </w:p>
    <w:p w14:paraId="3C63D302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b/>
          <w:bCs/>
          <w:kern w:val="0"/>
          <w:sz w:val="24"/>
          <w:szCs w:val="24"/>
        </w:rPr>
        <w:t>二次函数图像与性质体系</w:t>
      </w:r>
      <w:r>
        <w:rPr>
          <w:rFonts w:ascii="宋体" w:hAnsi="宋体" w:eastAsia="宋体" w:cs="宋体"/>
          <w:kern w:val="0"/>
          <w:sz w:val="24"/>
          <w:szCs w:val="24"/>
        </w:rPr>
        <w:t>：编制《二次函数图像性质对照表》，精准掌握参数$$a、b、c$$对抛物线开口方向、宽窄、对称轴位置、与坐标轴交点的调控规律，可快速判定函数单调性、最值、增减区间，建立参数与图像的一一对应认知。</w:t>
      </w:r>
    </w:p>
    <w:p w14:paraId="5CA2CC5E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b/>
          <w:bCs/>
          <w:kern w:val="0"/>
          <w:sz w:val="24"/>
          <w:szCs w:val="24"/>
        </w:rPr>
        <w:t>图像变换规律体系</w:t>
      </w:r>
      <w:r>
        <w:rPr>
          <w:rFonts w:ascii="宋体" w:hAnsi="宋体" w:eastAsia="宋体" w:cs="宋体"/>
          <w:kern w:val="0"/>
          <w:sz w:val="24"/>
          <w:szCs w:val="24"/>
        </w:rPr>
        <w:t>：归纳平移、轴对称、中心旋转三类变换的坐标规则与解析式变形逻辑，吃透“左加右减、上加下减”平移法则本质，摒弃机械记忆，实现图像变换类题目精准求解。</w:t>
      </w:r>
    </w:p>
    <w:p w14:paraId="6C87076A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b/>
          <w:bCs/>
          <w:kern w:val="0"/>
          <w:sz w:val="24"/>
          <w:szCs w:val="24"/>
        </w:rPr>
        <w:t>函数综合关联体系</w:t>
      </w:r>
      <w:r>
        <w:rPr>
          <w:rFonts w:ascii="宋体" w:hAnsi="宋体" w:eastAsia="宋体" w:cs="宋体"/>
          <w:kern w:val="0"/>
          <w:sz w:val="24"/>
          <w:szCs w:val="24"/>
        </w:rPr>
        <w:t>：厘清二次函数与一元二次方程、一元二次不等式的内在逻辑，掌握数形结合互解方法，搭建“函数图像—方程根—不等式解集”的联动解题模型。</w:t>
      </w:r>
    </w:p>
    <w:p w14:paraId="13346279">
      <w:pPr>
        <w:widowControl/>
        <w:spacing w:before="100" w:beforeAutospacing="1" w:after="100" w:afterAutospacing="1"/>
        <w:jc w:val="left"/>
        <w:outlineLvl w:val="2"/>
        <w:rPr>
          <w:rFonts w:ascii="宋体" w:hAnsi="宋体" w:eastAsia="宋体" w:cs="宋体"/>
          <w:b/>
          <w:bCs/>
          <w:kern w:val="0"/>
          <w:sz w:val="27"/>
          <w:szCs w:val="27"/>
        </w:rPr>
      </w:pPr>
      <w:r>
        <w:rPr>
          <w:rFonts w:ascii="宋体" w:hAnsi="宋体" w:eastAsia="宋体" w:cs="宋体"/>
          <w:b/>
          <w:bCs/>
          <w:kern w:val="0"/>
          <w:sz w:val="27"/>
          <w:szCs w:val="27"/>
        </w:rPr>
        <w:t>（二）实践应用成果：形成标准化解题范式</w:t>
      </w:r>
    </w:p>
    <w:p w14:paraId="5BB28443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课题组突破实际应用建模瓶颈，提炼出**二次函数实际问题标准化解题流程**：</w:t>
      </w:r>
      <w:r>
        <w:rPr>
          <w:rFonts w:ascii="宋体" w:hAnsi="宋体" w:eastAsia="宋体" w:cs="宋体"/>
          <w:b/>
          <w:bCs/>
          <w:kern w:val="0"/>
          <w:sz w:val="24"/>
          <w:szCs w:val="24"/>
        </w:rPr>
        <w:t>审题圈定关键信息→设定自变量与因变量→梳理等量关系构建函数模型→结合实际界定定义域→求解函数最值/轨迹→验证结果合理性</w:t>
      </w:r>
      <w:r>
        <w:rPr>
          <w:rFonts w:ascii="宋体" w:hAnsi="宋体" w:eastAsia="宋体" w:cs="宋体"/>
          <w:kern w:val="0"/>
          <w:sz w:val="24"/>
          <w:szCs w:val="24"/>
        </w:rPr>
        <w:t>。依托该范式，可独立解决经济利润最大化、几何图形面积最值、抛体运动轨迹分析、工程设计优化等典型实际问题，解题准确率与效率显著提升，实现数学知识从理论到实践的落地转化。</w:t>
      </w:r>
    </w:p>
    <w:p w14:paraId="6A88E30B">
      <w:pPr>
        <w:widowControl/>
        <w:spacing w:before="100" w:beforeAutospacing="1" w:after="100" w:afterAutospacing="1"/>
        <w:jc w:val="left"/>
        <w:outlineLvl w:val="2"/>
        <w:rPr>
          <w:rFonts w:ascii="宋体" w:hAnsi="宋体" w:eastAsia="宋体" w:cs="宋体"/>
          <w:b/>
          <w:bCs/>
          <w:kern w:val="0"/>
          <w:sz w:val="27"/>
          <w:szCs w:val="27"/>
        </w:rPr>
      </w:pPr>
      <w:r>
        <w:rPr>
          <w:rFonts w:ascii="宋体" w:hAnsi="宋体" w:eastAsia="宋体" w:cs="宋体"/>
          <w:b/>
          <w:bCs/>
          <w:kern w:val="0"/>
          <w:sz w:val="27"/>
          <w:szCs w:val="27"/>
        </w:rPr>
        <w:t>（三）能力素养成果：培育数学核心素养</w:t>
      </w:r>
    </w:p>
    <w:p w14:paraId="207AFBA2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彻底消解函数学习畏难情绪，建立数形结合、分类讨论、模型思想、逻辑推理四大核心数学思维，掌握函数学习的底层方法；</w:t>
      </w:r>
    </w:p>
    <w:p w14:paraId="29143924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提升自主探究、小组协作、错题复盘、归纳总结的综合学习能力，塑造严谨、细致、务实的治学态度；</w:t>
      </w:r>
    </w:p>
    <w:p w14:paraId="07E0D1E7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完成《初中二次函数知识点思维导图》《二次函数典型例题及错题汇编》《解题技巧速记手册》三类辅助学习材料，兼具实用性与推广性，可为班级同龄学生提供学习参考。</w:t>
      </w:r>
    </w:p>
    <w:p w14:paraId="56E14AC1">
      <w:pPr>
        <w:widowControl/>
        <w:spacing w:before="100" w:beforeAutospacing="1" w:after="100" w:afterAutospacing="1"/>
        <w:jc w:val="left"/>
        <w:outlineLvl w:val="1"/>
        <w:rPr>
          <w:rFonts w:ascii="宋体" w:hAnsi="宋体" w:eastAsia="宋体" w:cs="宋体"/>
          <w:b/>
          <w:bCs/>
          <w:kern w:val="0"/>
          <w:sz w:val="36"/>
          <w:szCs w:val="36"/>
        </w:rPr>
      </w:pPr>
      <w:r>
        <w:rPr>
          <w:rFonts w:ascii="宋体" w:hAnsi="宋体" w:eastAsia="宋体" w:cs="宋体"/>
          <w:b/>
          <w:bCs/>
          <w:kern w:val="0"/>
          <w:sz w:val="36"/>
          <w:szCs w:val="36"/>
        </w:rPr>
        <w:t>三、研究结论</w:t>
      </w:r>
    </w:p>
    <w:p w14:paraId="1BFDC507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经过6周系统性探究与实践验证，课题组得出以下核心结论：</w:t>
      </w:r>
    </w:p>
    <w:p w14:paraId="717C5B22">
      <w:pPr>
        <w:widowControl/>
        <w:numPr>
          <w:ilvl w:val="0"/>
          <w:numId w:val="3"/>
        </w:numPr>
        <w:spacing w:before="100" w:beforeAutospacing="1" w:after="100" w:afterAutospacing="1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b/>
          <w:bCs/>
          <w:kern w:val="0"/>
          <w:sz w:val="24"/>
          <w:szCs w:val="24"/>
        </w:rPr>
        <w:t>数形结合是二次函数学习的核心密钥</w:t>
      </w:r>
      <w:r>
        <w:rPr>
          <w:rFonts w:ascii="宋体" w:hAnsi="宋体" w:eastAsia="宋体" w:cs="宋体"/>
          <w:kern w:val="0"/>
          <w:sz w:val="24"/>
          <w:szCs w:val="24"/>
        </w:rPr>
        <w:t>：二次函数的代数性质与几何图像高度关联，图像是剖析函数特征、破解综合难题的核心载体，参数变化与抛物线形态、位置存在严格的对应规律，脱离图像分析函数性质极易陷入认知误区。</w:t>
      </w:r>
    </w:p>
    <w:p w14:paraId="4AC10D07">
      <w:pPr>
        <w:widowControl/>
        <w:numPr>
          <w:ilvl w:val="0"/>
          <w:numId w:val="3"/>
        </w:numPr>
        <w:spacing w:before="100" w:beforeAutospacing="1" w:after="100" w:afterAutospacing="1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b/>
          <w:bCs/>
          <w:kern w:val="0"/>
          <w:sz w:val="24"/>
          <w:szCs w:val="24"/>
        </w:rPr>
        <w:t>表达式选型直接决定解题效率</w:t>
      </w:r>
      <w:r>
        <w:rPr>
          <w:rFonts w:ascii="宋体" w:hAnsi="宋体" w:eastAsia="宋体" w:cs="宋体"/>
          <w:kern w:val="0"/>
          <w:sz w:val="24"/>
          <w:szCs w:val="24"/>
        </w:rPr>
        <w:t>：二次函数三类表达式各有优劣、场景适配性极强，解题时需结合已知条件灵活选用，精准选型可大幅简化运算流程、降低失误率，是提升解题速度的关键技巧。</w:t>
      </w:r>
    </w:p>
    <w:p w14:paraId="6B1DB21D">
      <w:pPr>
        <w:widowControl/>
        <w:numPr>
          <w:ilvl w:val="0"/>
          <w:numId w:val="3"/>
        </w:numPr>
        <w:spacing w:before="100" w:beforeAutospacing="1" w:after="100" w:afterAutospacing="1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b/>
          <w:bCs/>
          <w:kern w:val="0"/>
          <w:sz w:val="24"/>
          <w:szCs w:val="24"/>
        </w:rPr>
        <w:t>二次函数具备极强的现实应用价值</w:t>
      </w:r>
      <w:r>
        <w:rPr>
          <w:rFonts w:ascii="宋体" w:hAnsi="宋体" w:eastAsia="宋体" w:cs="宋体"/>
          <w:kern w:val="0"/>
          <w:sz w:val="24"/>
          <w:szCs w:val="24"/>
        </w:rPr>
        <w:t>：作为典型的数学模型，二次函数可有效解决现实生活中最值优化、轨迹分析、量化决策等实际问题，充分体现了数学“源于生活、服务生活”的学科本质。</w:t>
      </w:r>
    </w:p>
    <w:p w14:paraId="6D46E3F1">
      <w:pPr>
        <w:widowControl/>
        <w:numPr>
          <w:ilvl w:val="0"/>
          <w:numId w:val="3"/>
        </w:numPr>
        <w:spacing w:before="100" w:beforeAutospacing="1" w:after="100" w:afterAutospacing="1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b/>
          <w:bCs/>
          <w:kern w:val="0"/>
          <w:sz w:val="24"/>
          <w:szCs w:val="24"/>
        </w:rPr>
        <w:t>科学学习路径是攻克难点的关键</w:t>
      </w:r>
      <w:r>
        <w:rPr>
          <w:rFonts w:ascii="宋体" w:hAnsi="宋体" w:eastAsia="宋体" w:cs="宋体"/>
          <w:kern w:val="0"/>
          <w:sz w:val="24"/>
          <w:szCs w:val="24"/>
        </w:rPr>
        <w:t>：二次函数学习需遵循“理论夯实→图像剖析→实践应用→错题复盘”的递进逻辑，仅靠机械记忆无法掌握本质，唯有通过实操训练、规律总结、反思优化，才能突破学习瓶颈、内化知识体系。</w:t>
      </w:r>
    </w:p>
    <w:p w14:paraId="53A3737C">
      <w:pPr>
        <w:widowControl/>
        <w:spacing w:before="100" w:beforeAutospacing="1" w:after="100" w:afterAutospacing="1"/>
        <w:jc w:val="left"/>
        <w:outlineLvl w:val="1"/>
        <w:rPr>
          <w:rFonts w:ascii="宋体" w:hAnsi="宋体" w:eastAsia="宋体" w:cs="宋体"/>
          <w:b/>
          <w:bCs/>
          <w:kern w:val="0"/>
          <w:sz w:val="36"/>
          <w:szCs w:val="36"/>
        </w:rPr>
      </w:pPr>
      <w:r>
        <w:rPr>
          <w:rFonts w:ascii="宋体" w:hAnsi="宋体" w:eastAsia="宋体" w:cs="宋体"/>
          <w:b/>
          <w:bCs/>
          <w:kern w:val="0"/>
          <w:sz w:val="36"/>
          <w:szCs w:val="36"/>
        </w:rPr>
        <w:t>四、研究不足与改进方向</w:t>
      </w:r>
    </w:p>
    <w:p w14:paraId="40923B48">
      <w:pPr>
        <w:widowControl/>
        <w:spacing w:before="100" w:beforeAutospacing="1" w:after="100" w:afterAutospacing="1"/>
        <w:jc w:val="left"/>
        <w:outlineLvl w:val="2"/>
        <w:rPr>
          <w:rFonts w:ascii="宋体" w:hAnsi="宋体" w:eastAsia="宋体" w:cs="宋体"/>
          <w:b/>
          <w:bCs/>
          <w:kern w:val="0"/>
          <w:sz w:val="27"/>
          <w:szCs w:val="27"/>
        </w:rPr>
      </w:pPr>
      <w:r>
        <w:rPr>
          <w:rFonts w:ascii="宋体" w:hAnsi="宋体" w:eastAsia="宋体" w:cs="宋体"/>
          <w:b/>
          <w:bCs/>
          <w:kern w:val="0"/>
          <w:sz w:val="27"/>
          <w:szCs w:val="27"/>
        </w:rPr>
        <w:t>（一）研究不足</w:t>
      </w:r>
    </w:p>
    <w:p w14:paraId="44F90DD3">
      <w:pPr>
        <w:widowControl/>
        <w:numPr>
          <w:ilvl w:val="0"/>
          <w:numId w:val="4"/>
        </w:numPr>
        <w:spacing w:before="100" w:beforeAutospacing="1" w:after="100" w:afterAutospacing="1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探究广度与深度有限：针对二次函数与三角形、四边形等几何图形的综合压轴题，仅开展基础探究，未形成系统化、分层级的解题体系，对复杂综合题型的拆解技巧总结不足。</w:t>
      </w:r>
    </w:p>
    <w:p w14:paraId="21943B3C">
      <w:pPr>
        <w:widowControl/>
        <w:numPr>
          <w:ilvl w:val="0"/>
          <w:numId w:val="4"/>
        </w:numPr>
        <w:spacing w:before="100" w:beforeAutospacing="1" w:after="100" w:afterAutospacing="1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实践研究支撑薄弱：研究案例以历年中考真题为主，缺乏实地测量、现场采集的一手数据，实证性探究环节欠缺，实践研究的直观性与说服力不足。</w:t>
      </w:r>
    </w:p>
    <w:p w14:paraId="4EB12FA2">
      <w:pPr>
        <w:widowControl/>
        <w:numPr>
          <w:ilvl w:val="0"/>
          <w:numId w:val="4"/>
        </w:numPr>
        <w:spacing w:before="100" w:beforeAutospacing="1" w:after="100" w:afterAutospacing="1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成果精炼度不足：知识点总结、技巧归纳偏繁琐，通用型解题模板尚未完善，知识与方法的迁移适配性有待提升，成果推广的便捷性不足。</w:t>
      </w:r>
    </w:p>
    <w:p w14:paraId="7E7D3496">
      <w:pPr>
        <w:widowControl/>
        <w:spacing w:before="100" w:beforeAutospacing="1" w:after="100" w:afterAutospacing="1"/>
        <w:jc w:val="left"/>
        <w:outlineLvl w:val="2"/>
        <w:rPr>
          <w:rFonts w:ascii="宋体" w:hAnsi="宋体" w:eastAsia="宋体" w:cs="宋体"/>
          <w:b/>
          <w:bCs/>
          <w:kern w:val="0"/>
          <w:sz w:val="27"/>
          <w:szCs w:val="27"/>
        </w:rPr>
      </w:pPr>
      <w:r>
        <w:rPr>
          <w:rFonts w:ascii="宋体" w:hAnsi="宋体" w:eastAsia="宋体" w:cs="宋体"/>
          <w:b/>
          <w:bCs/>
          <w:kern w:val="0"/>
          <w:sz w:val="27"/>
          <w:szCs w:val="27"/>
        </w:rPr>
        <w:t>（二）改进方向</w:t>
      </w:r>
    </w:p>
    <w:p w14:paraId="24575D6C">
      <w:pPr>
        <w:widowControl/>
        <w:numPr>
          <w:ilvl w:val="0"/>
          <w:numId w:val="5"/>
        </w:numPr>
        <w:spacing w:before="100" w:beforeAutospacing="1" w:after="100" w:afterAutospacing="1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拓展综合题型研究：后续聚焦二次函数与平面几何的综合压轴题，分类梳理题型特征，构建分层解题模型，总结破题技巧，补齐研究短板。</w:t>
      </w:r>
    </w:p>
    <w:p w14:paraId="46A7C6AF">
      <w:pPr>
        <w:widowControl/>
        <w:numPr>
          <w:ilvl w:val="0"/>
          <w:numId w:val="5"/>
        </w:numPr>
        <w:spacing w:before="100" w:beforeAutospacing="1" w:after="100" w:afterAutospacing="1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丰富实证研究维度：开展实地实践探究，采集投篮轨迹、校园喷水装置、建筑拱形曲线等实测数据，结合数据建模分析，增强研究的实践性与直观性。</w:t>
      </w:r>
    </w:p>
    <w:p w14:paraId="2D7E083C">
      <w:pPr>
        <w:widowControl/>
        <w:numPr>
          <w:ilvl w:val="0"/>
          <w:numId w:val="5"/>
        </w:numPr>
        <w:spacing w:before="100" w:beforeAutospacing="1" w:after="100" w:afterAutospacing="1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优化成果呈现形式：精简知识点体系，提炼通用、易记的解题模板，完善辅助学习材料，强化知识与方法的迁移应用，提升成果的推广价值。</w:t>
      </w:r>
    </w:p>
    <w:p w14:paraId="570EA569">
      <w:pPr>
        <w:widowControl/>
        <w:spacing w:before="100" w:beforeAutospacing="1" w:after="100" w:afterAutospacing="1"/>
        <w:jc w:val="left"/>
        <w:outlineLvl w:val="1"/>
        <w:rPr>
          <w:rFonts w:ascii="宋体" w:hAnsi="宋体" w:eastAsia="宋体" w:cs="宋体"/>
          <w:b/>
          <w:bCs/>
          <w:kern w:val="0"/>
          <w:sz w:val="36"/>
          <w:szCs w:val="36"/>
        </w:rPr>
      </w:pPr>
      <w:r>
        <w:rPr>
          <w:rFonts w:ascii="宋体" w:hAnsi="宋体" w:eastAsia="宋体" w:cs="宋体"/>
          <w:b/>
          <w:bCs/>
          <w:kern w:val="0"/>
          <w:sz w:val="36"/>
          <w:szCs w:val="36"/>
        </w:rPr>
        <w:t>五、研究总结与感悟</w:t>
      </w:r>
    </w:p>
    <w:p w14:paraId="67EC8F26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本次课题研究是一次完整的数学探究实践，更是一次思维能力的淬炼提升。课题组成员不仅系统掌握了初中二次函数的核心知识、解题方法与应用技巧，更深刻领悟了数学学科的逻辑性、应用性与严谨性，真切体会到“自主探究+合作研学”的学术价值。</w:t>
      </w:r>
    </w:p>
    <w:p w14:paraId="793C951E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研究过程让我们意识到，数学学习绝非机械的公式记忆、重复运算，而是依托数形结合、逻辑推理、模型构建破解问题的思维过程。此次研究既破解了当前二次函数学习的痛点，也为后续高中阶段函数、圆锥曲线等高阶知识学习奠定了理论基础、积累了探究经验，同时培育了科学探究精神、团队协作意识与严谨的治学态度。</w:t>
      </w:r>
    </w:p>
    <w:p w14:paraId="2431AAD1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尽管课题存在一定不足，但为后续数学探究积累了宝贵经验。未来课题组将延续这份探究热情，持续深耕数学学科难点，不断完善研究成果，全力提升数学核心素养，以更严谨的态度、更科学的方法开展后续学习与探究。</w:t>
      </w:r>
    </w:p>
    <w:p w14:paraId="452347E0"/>
    <w:p w14:paraId="4D381CC0">
      <w:pPr>
        <w:snapToGrid w:val="0"/>
        <w:spacing w:line="360" w:lineRule="auto"/>
        <w:ind w:left="5218" w:leftChars="2185" w:hanging="630" w:hangingChars="300"/>
        <w:rPr>
          <w:rFonts w:ascii="Times New Roman" w:hAnsi="Times New Roman" w:eastAsia="黑体" w:cs="Times New Roman"/>
          <w:sz w:val="24"/>
          <w:szCs w:val="32"/>
        </w:rPr>
      </w:pPr>
      <w:r>
        <w:rPr>
          <w:rFonts w:hint="eastAsia"/>
        </w:rPr>
        <w:t xml:space="preserve"> </w:t>
      </w:r>
      <w:r>
        <w:t xml:space="preserve">                                        </w:t>
      </w:r>
      <w:r>
        <w:rPr>
          <w:rFonts w:hint="eastAsia" w:ascii="Times New Roman" w:hAnsi="Times New Roman" w:eastAsia="黑体" w:cs="Times New Roman"/>
          <w:sz w:val="24"/>
          <w:szCs w:val="32"/>
        </w:rPr>
        <w:t>课题组成员：程子洋</w:t>
      </w:r>
    </w:p>
    <w:p w14:paraId="7CB3C118">
      <w:pPr>
        <w:snapToGrid w:val="0"/>
        <w:spacing w:line="360" w:lineRule="auto"/>
        <w:ind w:firstLine="5244" w:firstLineChars="2185"/>
        <w:rPr>
          <w:rFonts w:ascii="Times New Roman" w:hAnsi="Times New Roman" w:eastAsia="黑体" w:cs="Times New Roman"/>
          <w:sz w:val="24"/>
          <w:szCs w:val="32"/>
        </w:rPr>
      </w:pPr>
      <w:r>
        <w:rPr>
          <w:rFonts w:hint="eastAsia" w:ascii="Times New Roman" w:hAnsi="Times New Roman" w:eastAsia="黑体" w:cs="Times New Roman"/>
          <w:sz w:val="24"/>
          <w:szCs w:val="32"/>
        </w:rPr>
        <w:t>指导教师：崔金环</w:t>
      </w:r>
    </w:p>
    <w:p w14:paraId="0C8A8FB6">
      <w:pPr>
        <w:snapToGrid w:val="0"/>
        <w:spacing w:line="360" w:lineRule="auto"/>
        <w:ind w:firstLine="5244" w:firstLineChars="2185"/>
        <w:rPr>
          <w:rFonts w:hint="eastAsia" w:ascii="Times New Roman" w:hAnsi="Times New Roman" w:eastAsia="黑体" w:cs="Times New Roman"/>
          <w:sz w:val="24"/>
          <w:szCs w:val="32"/>
        </w:rPr>
      </w:pPr>
      <w:r>
        <w:rPr>
          <w:rFonts w:hint="eastAsia" w:ascii="Times New Roman" w:hAnsi="Times New Roman" w:eastAsia="黑体" w:cs="Times New Roman"/>
          <w:sz w:val="24"/>
          <w:szCs w:val="32"/>
        </w:rPr>
        <w:t>学校：中国矿业大学附中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DF7D13"/>
    <w:multiLevelType w:val="multilevel"/>
    <w:tmpl w:val="17DF7D1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26304250"/>
    <w:multiLevelType w:val="multilevel"/>
    <w:tmpl w:val="2630425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>
    <w:nsid w:val="46CD61DD"/>
    <w:multiLevelType w:val="multilevel"/>
    <w:tmpl w:val="46CD61D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>
    <w:nsid w:val="53B63796"/>
    <w:multiLevelType w:val="multilevel"/>
    <w:tmpl w:val="53B6379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>
    <w:nsid w:val="6C2B79DB"/>
    <w:multiLevelType w:val="multilevel"/>
    <w:tmpl w:val="6C2B79D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9FA"/>
    <w:rsid w:val="00783CA9"/>
    <w:rsid w:val="007D5662"/>
    <w:rsid w:val="008829FA"/>
    <w:rsid w:val="00C22EC4"/>
    <w:rsid w:val="00DB4456"/>
    <w:rsid w:val="00EC40A1"/>
    <w:rsid w:val="27793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2348</Words>
  <Characters>2425</Characters>
  <Lines>17</Lines>
  <Paragraphs>5</Paragraphs>
  <TotalTime>0</TotalTime>
  <ScaleCrop>false</ScaleCrop>
  <LinksUpToDate>false</LinksUpToDate>
  <CharactersWithSpaces>2475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2026-03-12T03:38:00Z</dcterms:created>
  <dc:creator>wang</dc:creator>
  <cp:lastModifiedBy>张秀全</cp:lastModifiedBy>
  <dcterms:modified xsi:type="dcterms:W3CDTF">2026-03-18T07:40:23Z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eyJoZGlkIjoiODgxMjIxNDc0OGQ4MGE2OWUzZjU0OGYxOTM2MGI3ZTUiLCJ1c2VySWQiOiIxNjkyNzQyMzkyIn0=</vt:lpwstr>
  </property>
  <property fmtid="{D5CDD505-2E9C-101B-9397-08002B2CF9AE}" pid="3" name="KSOProductBuildVer">
    <vt:lpwstr>2052-12.1.0.23542</vt:lpwstr>
  </property>
  <property fmtid="{D5CDD505-2E9C-101B-9397-08002B2CF9AE}" pid="4" name="ICV">
    <vt:lpwstr>220B74D6B360486180064AFAC11D59FC_12</vt:lpwstr>
  </property>
</Properties>
</file>