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180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240" w:line="600" w:lineRule="exact"/>
        <w:jc w:val="both"/>
        <w:textAlignment w:val="auto"/>
        <w:rPr>
          <w:rFonts w:hint="eastAsia"/>
          <w:b/>
          <w:bCs/>
          <w:sz w:val="52"/>
          <w:szCs w:val="52"/>
          <w:lang w:eastAsia="zh-CN"/>
        </w:rPr>
      </w:pPr>
    </w:p>
    <w:p w14:paraId="5F99B1C1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48"/>
          <w:szCs w:val="48"/>
        </w:rPr>
      </w:pPr>
      <w:r>
        <w:rPr>
          <w:rFonts w:hint="eastAsia" w:ascii="楷体" w:hAnsi="楷体" w:eastAsia="楷体" w:cs="楷体"/>
          <w:sz w:val="48"/>
          <w:szCs w:val="48"/>
        </w:rPr>
        <w:t>徐州文化古钱币中的数学知识探究</w:t>
      </w:r>
    </w:p>
    <w:p w14:paraId="23AB4836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sz w:val="48"/>
          <w:szCs w:val="48"/>
        </w:rPr>
      </w:pPr>
      <w:r>
        <w:rPr>
          <w:rFonts w:hint="eastAsia" w:ascii="楷体" w:hAnsi="楷体" w:eastAsia="楷体" w:cs="楷体"/>
          <w:sz w:val="48"/>
          <w:szCs w:val="48"/>
        </w:rPr>
        <w:t>及中考尺规作图题预测</w:t>
      </w:r>
      <w:r>
        <w:rPr>
          <w:rFonts w:hint="eastAsia" w:ascii="楷体" w:hAnsi="楷体" w:eastAsia="楷体" w:cs="楷体"/>
          <w:sz w:val="48"/>
          <w:szCs w:val="48"/>
          <w:lang w:eastAsia="zh-CN"/>
        </w:rPr>
        <w:t>过程</w:t>
      </w:r>
      <w:r>
        <w:rPr>
          <w:rFonts w:hint="eastAsia" w:ascii="楷体" w:hAnsi="楷体" w:eastAsia="楷体" w:cs="楷体"/>
          <w:sz w:val="48"/>
          <w:szCs w:val="48"/>
        </w:rPr>
        <w:t>报告</w:t>
      </w:r>
    </w:p>
    <w:p w14:paraId="4CEE8680">
      <w:pPr>
        <w:rPr>
          <w:rFonts w:hint="eastAsia"/>
        </w:rPr>
      </w:pPr>
    </w:p>
    <w:p w14:paraId="7DFACF07">
      <w:pPr>
        <w:rPr>
          <w:rFonts w:hint="eastAsia"/>
        </w:rPr>
      </w:pPr>
    </w:p>
    <w:p w14:paraId="4A8AA8E9">
      <w:pPr>
        <w:rPr>
          <w:rFonts w:hint="eastAsia"/>
        </w:rPr>
      </w:pPr>
    </w:p>
    <w:p w14:paraId="6CEBA959">
      <w:pPr>
        <w:rPr>
          <w:rFonts w:hint="eastAsia"/>
        </w:rPr>
      </w:pPr>
    </w:p>
    <w:p w14:paraId="451AD58D">
      <w:pPr>
        <w:rPr>
          <w:rFonts w:hint="eastAsia"/>
        </w:rPr>
      </w:pPr>
    </w:p>
    <w:p w14:paraId="583596E3">
      <w:pPr>
        <w:rPr>
          <w:rFonts w:hint="eastAsia"/>
        </w:rPr>
      </w:pPr>
    </w:p>
    <w:p w14:paraId="720C95DB">
      <w:pPr>
        <w:rPr>
          <w:rFonts w:hint="eastAsia"/>
        </w:rPr>
      </w:pPr>
    </w:p>
    <w:p w14:paraId="5FF3ED5A">
      <w:pPr>
        <w:rPr>
          <w:rFonts w:hint="eastAsia"/>
        </w:rPr>
      </w:pPr>
    </w:p>
    <w:p w14:paraId="151B7769">
      <w:pPr>
        <w:rPr>
          <w:rFonts w:hint="eastAsia"/>
        </w:rPr>
      </w:pPr>
    </w:p>
    <w:p w14:paraId="297F7985">
      <w:pPr>
        <w:rPr>
          <w:rFonts w:hint="eastAsia"/>
        </w:rPr>
      </w:pPr>
    </w:p>
    <w:p w14:paraId="5E61126C">
      <w:pPr>
        <w:rPr>
          <w:rFonts w:hint="eastAsia"/>
        </w:rPr>
      </w:pPr>
    </w:p>
    <w:p w14:paraId="2757CAA4">
      <w:pPr>
        <w:rPr>
          <w:rFonts w:hint="eastAsia"/>
        </w:rPr>
      </w:pPr>
    </w:p>
    <w:p w14:paraId="4216857C">
      <w:pPr>
        <w:rPr>
          <w:rFonts w:hint="eastAsia"/>
        </w:rPr>
      </w:pPr>
    </w:p>
    <w:p w14:paraId="4687983C">
      <w:pPr>
        <w:adjustRightInd w:val="0"/>
        <w:snapToGrid w:val="0"/>
        <w:spacing w:line="480" w:lineRule="auto"/>
        <w:ind w:firstLine="640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  <w:lang w:eastAsia="zh-CN"/>
        </w:rPr>
        <w:t>学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      </w:t>
      </w:r>
      <w:r>
        <w:rPr>
          <w:rFonts w:hint="eastAsia" w:eastAsia="仿宋_GB2312"/>
          <w:sz w:val="32"/>
          <w:szCs w:val="20"/>
          <w:lang w:eastAsia="zh-CN"/>
        </w:rPr>
        <w:t>校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20"/>
          <w:u w:val="single"/>
          <w:lang w:eastAsia="zh-CN"/>
        </w:rPr>
        <w:t>中国矿业大学附属中学</w:t>
      </w:r>
      <w:r>
        <w:rPr>
          <w:rFonts w:hint="eastAsia" w:eastAsia="仿宋_GB2312"/>
          <w:sz w:val="32"/>
          <w:szCs w:val="20"/>
          <w:u w:val="single"/>
        </w:rPr>
        <w:t xml:space="preserve">   </w:t>
      </w:r>
    </w:p>
    <w:p w14:paraId="39CCDD5C">
      <w:pPr>
        <w:adjustRightInd w:val="0"/>
        <w:snapToGrid w:val="0"/>
        <w:spacing w:line="480" w:lineRule="auto"/>
        <w:ind w:firstLine="608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pacing w:val="-8"/>
          <w:sz w:val="32"/>
          <w:szCs w:val="20"/>
          <w:lang w:eastAsia="zh-CN"/>
        </w:rPr>
        <w:t>班</w:t>
      </w:r>
      <w:r>
        <w:rPr>
          <w:rFonts w:hint="eastAsia" w:eastAsia="仿宋_GB2312"/>
          <w:spacing w:val="-8"/>
          <w:sz w:val="32"/>
          <w:szCs w:val="20"/>
          <w:lang w:val="en-US" w:eastAsia="zh-CN"/>
        </w:rPr>
        <w:t xml:space="preserve">        </w:t>
      </w:r>
      <w:r>
        <w:rPr>
          <w:rFonts w:hint="eastAsia" w:eastAsia="仿宋_GB2312"/>
          <w:spacing w:val="-8"/>
          <w:sz w:val="32"/>
          <w:szCs w:val="20"/>
          <w:lang w:eastAsia="zh-CN"/>
        </w:rPr>
        <w:t>级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初三（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>1班</w:t>
      </w:r>
      <w:r>
        <w:rPr>
          <w:rFonts w:hint="eastAsia" w:eastAsia="仿宋_GB2312"/>
          <w:sz w:val="32"/>
          <w:szCs w:val="20"/>
          <w:u w:val="single"/>
          <w:lang w:eastAsia="zh-CN"/>
        </w:rPr>
        <w:t>）</w:t>
      </w:r>
      <w:r>
        <w:rPr>
          <w:rFonts w:hint="eastAsia" w:eastAsia="仿宋_GB2312"/>
          <w:sz w:val="32"/>
          <w:szCs w:val="20"/>
          <w:u w:val="single"/>
        </w:rPr>
        <w:t xml:space="preserve">         </w:t>
      </w:r>
    </w:p>
    <w:p w14:paraId="24822CF0">
      <w:pPr>
        <w:adjustRightInd w:val="0"/>
        <w:snapToGrid w:val="0"/>
        <w:spacing w:line="480" w:lineRule="auto"/>
        <w:ind w:firstLine="696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pacing w:val="14"/>
          <w:sz w:val="32"/>
          <w:szCs w:val="20"/>
          <w:lang w:eastAsia="zh-CN"/>
        </w:rPr>
        <w:t>主</w:t>
      </w:r>
      <w:r>
        <w:rPr>
          <w:rFonts w:hint="eastAsia" w:eastAsia="仿宋_GB2312"/>
          <w:spacing w:val="14"/>
          <w:sz w:val="32"/>
          <w:szCs w:val="20"/>
          <w:lang w:val="en-US" w:eastAsia="zh-CN"/>
        </w:rPr>
        <w:t xml:space="preserve">  </w:t>
      </w:r>
      <w:r>
        <w:rPr>
          <w:rFonts w:hint="eastAsia" w:eastAsia="仿宋_GB2312"/>
          <w:spacing w:val="14"/>
          <w:sz w:val="32"/>
          <w:szCs w:val="20"/>
          <w:lang w:eastAsia="zh-CN"/>
        </w:rPr>
        <w:t>持</w:t>
      </w:r>
      <w:r>
        <w:rPr>
          <w:rFonts w:hint="eastAsia" w:eastAsia="仿宋_GB2312"/>
          <w:spacing w:val="14"/>
          <w:sz w:val="32"/>
          <w:szCs w:val="20"/>
          <w:lang w:val="en-US" w:eastAsia="zh-CN"/>
        </w:rPr>
        <w:t xml:space="preserve">  </w:t>
      </w:r>
      <w:r>
        <w:rPr>
          <w:rFonts w:hint="eastAsia" w:eastAsia="仿宋_GB2312"/>
          <w:spacing w:val="14"/>
          <w:sz w:val="32"/>
          <w:szCs w:val="20"/>
        </w:rPr>
        <w:t>人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朱羿霖</w:t>
      </w:r>
      <w:r>
        <w:rPr>
          <w:rFonts w:hint="eastAsia" w:eastAsia="仿宋_GB2312"/>
          <w:sz w:val="32"/>
          <w:szCs w:val="20"/>
          <w:u w:val="single"/>
        </w:rPr>
        <w:t xml:space="preserve">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</w:p>
    <w:p w14:paraId="5F29F489">
      <w:pPr>
        <w:adjustRightInd w:val="0"/>
        <w:snapToGrid w:val="0"/>
        <w:spacing w:line="480" w:lineRule="auto"/>
        <w:ind w:firstLine="640" w:firstLineChars="200"/>
        <w:rPr>
          <w:rFonts w:hint="eastAsia"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  <w:lang w:eastAsia="zh-CN"/>
        </w:rPr>
        <w:t>指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导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老</w:t>
      </w:r>
      <w:r>
        <w:rPr>
          <w:rFonts w:hint="eastAsia" w:eastAsia="仿宋_GB2312"/>
          <w:sz w:val="32"/>
          <w:szCs w:val="20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lang w:eastAsia="zh-CN"/>
        </w:rPr>
        <w:t>师</w:t>
      </w:r>
      <w:r>
        <w:rPr>
          <w:rFonts w:hint="eastAsia" w:eastAsia="仿宋_GB2312"/>
          <w:sz w:val="32"/>
          <w:szCs w:val="20"/>
        </w:rPr>
        <w:t>：</w:t>
      </w:r>
      <w:r>
        <w:rPr>
          <w:rFonts w:hint="eastAsia" w:eastAsia="仿宋_GB2312"/>
          <w:sz w:val="32"/>
          <w:szCs w:val="20"/>
          <w:u w:val="single"/>
        </w:rPr>
        <w:t xml:space="preserve">   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张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  <w:lang w:eastAsia="zh-CN"/>
        </w:rPr>
        <w:t>欣</w:t>
      </w:r>
      <w:r>
        <w:rPr>
          <w:rFonts w:hint="eastAsia" w:eastAsia="仿宋_GB2312"/>
          <w:sz w:val="32"/>
          <w:szCs w:val="20"/>
          <w:u w:val="single"/>
        </w:rPr>
        <w:t xml:space="preserve">        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 </w:t>
      </w:r>
    </w:p>
    <w:p w14:paraId="6C9F5776">
      <w:pPr>
        <w:rPr>
          <w:rFonts w:hint="eastAsia"/>
        </w:rPr>
      </w:pPr>
    </w:p>
    <w:p w14:paraId="07A664B9">
      <w:pPr>
        <w:rPr>
          <w:rFonts w:hint="eastAsia"/>
        </w:rPr>
      </w:pPr>
    </w:p>
    <w:p w14:paraId="3B458305">
      <w:pPr>
        <w:rPr>
          <w:rFonts w:hint="eastAsia"/>
        </w:rPr>
      </w:pPr>
    </w:p>
    <w:p w14:paraId="180FDE9B">
      <w:pPr>
        <w:rPr>
          <w:rFonts w:hint="eastAsia"/>
        </w:rPr>
      </w:pPr>
    </w:p>
    <w:p w14:paraId="7402F23A">
      <w:pPr>
        <w:rPr>
          <w:rFonts w:hint="eastAsia"/>
        </w:rPr>
      </w:pPr>
    </w:p>
    <w:p w14:paraId="1DB461E8">
      <w:pPr>
        <w:rPr>
          <w:rFonts w:hint="eastAsia" w:ascii="仿宋_GB2312" w:eastAsia="仿宋_GB2312"/>
          <w:sz w:val="32"/>
          <w:szCs w:val="32"/>
        </w:rPr>
      </w:pPr>
    </w:p>
    <w:p w14:paraId="7EC9E3C6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  <w:lang w:eastAsia="zh-CN"/>
        </w:rPr>
      </w:pPr>
    </w:p>
    <w:p w14:paraId="065D7F87">
      <w:pPr>
        <w:pStyle w:val="2"/>
        <w:keepNext w:val="0"/>
        <w:keepLines w:val="0"/>
        <w:widowControl/>
        <w:suppressLineNumbers w:val="0"/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《</w:t>
      </w:r>
      <w:r>
        <w:rPr>
          <w:rFonts w:hint="eastAsia" w:ascii="楷体" w:hAnsi="楷体" w:eastAsia="楷体" w:cs="楷体"/>
        </w:rPr>
        <w:t>徐州文化古钱币中的数学知识探究及中考尺规作图题预测</w:t>
      </w:r>
      <w:r>
        <w:rPr>
          <w:rFonts w:hint="eastAsia" w:ascii="楷体" w:hAnsi="楷体" w:eastAsia="楷体" w:cs="楷体"/>
          <w:lang w:eastAsia="zh-CN"/>
        </w:rPr>
        <w:t>》</w:t>
      </w:r>
      <w:r>
        <w:rPr>
          <w:rFonts w:hint="eastAsia" w:ascii="楷体" w:hAnsi="楷体" w:eastAsia="楷体" w:cs="楷体"/>
        </w:rPr>
        <w:t>过程材料</w:t>
      </w:r>
    </w:p>
    <w:p w14:paraId="3A78C62D">
      <w:pPr>
        <w:jc w:val="center"/>
        <w:rPr>
          <w:rFonts w:hint="eastAsia"/>
        </w:rPr>
      </w:pPr>
      <w:r>
        <w:rPr>
          <w:rFonts w:hint="eastAsia" w:ascii="楷体" w:hAnsi="楷体" w:eastAsia="楷体" w:cs="楷体"/>
          <w:b/>
          <w:bCs/>
          <w:sz w:val="24"/>
          <w:szCs w:val="32"/>
          <w:lang w:val="en-US" w:eastAsia="zh-CN"/>
        </w:rPr>
        <w:t>中国矿业大学附属中学  初三（1）班朱羿霖</w:t>
      </w:r>
    </w:p>
    <w:p w14:paraId="75B7ADB6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一、课题研究过程概述</w:t>
      </w:r>
      <w:bookmarkStart w:id="0" w:name="_GoBack"/>
      <w:bookmarkEnd w:id="0"/>
    </w:p>
    <w:p w14:paraId="4BFFDC5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本课题自启动以来，严格按照开题报告制定的研究方案与进度安排，有序开展研究工作，先后完成了文献查阅、实地调研、真题分析、古钱币数学知识挖掘、预测题设计等核心任务，过程规范、成果扎实，具体过程如下：</w:t>
      </w:r>
    </w:p>
    <w:p w14:paraId="4D59FAC8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准备阶段（第1-2周）：课题组成员明确分工，集中查阅2021-2025年徐州中考数学真题、古钱币考古文献、尺规作图教学研究资料，完成文献综述；前往徐州博物馆开展实地调研，拍摄古钱币图像、记录尺寸数据，收集相关文物介绍资料，为后续研究奠定基础。</w:t>
      </w:r>
    </w:p>
    <w:p w14:paraId="4879A85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实施阶段（第3-5周）：分工开展核心研究工作，完成中考真题分析、古钱币数学知识挖掘、预测题设计三大任务，定期召开课题研讨会，交流研究进展，解决研究过程中遇到的难点问题，确保研究方向不偏离、研究内容不遗漏。</w:t>
      </w:r>
    </w:p>
    <w:p w14:paraId="000FEC8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总结阶段（第6-7周）：整理研究过程中的各类资料，汇总研究成果，对预测题进行反复打磨，完善解析与评分标准；撰写结题报告，梳理研究结论与备考建议，对整个研究过程进行复盘，确保研究成果的科学性、实用性。</w:t>
      </w:r>
    </w:p>
    <w:p w14:paraId="49A736C2">
      <w:pPr>
        <w:pStyle w:val="3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二、具体过程材料</w:t>
      </w:r>
    </w:p>
    <w:p w14:paraId="3A6E0F87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（一）文献与真题收集资料</w:t>
      </w:r>
    </w:p>
    <w:p w14:paraId="5E132A9D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 文献资料清单</w:t>
      </w:r>
    </w:p>
    <w:p w14:paraId="0FFAB097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（1）徐州市中考数学真题（2021-2025年）；</w:t>
      </w:r>
    </w:p>
    <w:p w14:paraId="4F1AB5D1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（2）徐州博物馆馆藏文物介绍（铜钱、平肩空首布相关）；</w:t>
      </w:r>
    </w:p>
    <w:p w14:paraId="4C46FD5D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（3）《新课标下尺规作图的命题变革与教学展望——以2022年江苏省中考为例》；</w:t>
      </w:r>
    </w:p>
    <w:p w14:paraId="79F576B0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（4）《平肩空首布钱体排列组合之推断》；</w:t>
      </w:r>
    </w:p>
    <w:p w14:paraId="7773E9F4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（5）徐州中考数学复习指导手册；</w:t>
      </w:r>
    </w:p>
    <w:p w14:paraId="77B4A2BF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（6）《中国古钱币图谱》《徐州考古报告（古钱币卷）》。</w:t>
      </w:r>
    </w:p>
    <w:p w14:paraId="001C8657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 中考真题分析笔记（摘要）</w:t>
      </w:r>
    </w:p>
    <w:p w14:paraId="1D688E55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核心结论：近五年徐州中考尺规作图每年必考1道，分值3-8分，解答题形式为主；核心考点集中在作线段垂直平分线、作角平分线、作圆、补全图形，其中线段垂直平分线应用考查频率最高；2023年开始融入本土文化素材（汉玉），2025年考查“补全残缺的弧”，贴合实际应用；设问形式均为“作图+计算/证明”，难度梯度清晰，基础操作+综合应用结合。</w:t>
      </w:r>
    </w:p>
    <w:p w14:paraId="6536680E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具体真题梳理：2021年考查“过一点作已知直线的垂线+三角形全等证明”；2022年考查“作角的平分线+角度计算”；2023年考查“结合玉壁作线段垂直平分线+比例计算”；2024年考查“作三角形（已知三边）+线段长度计算”；2025年考查“补全残缺的弧+圆心确定+半径计算”。</w:t>
      </w:r>
    </w:p>
    <w:p w14:paraId="3778E08B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（二）实地调研材料</w:t>
      </w:r>
    </w:p>
    <w:p w14:paraId="361469A4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古钱币调研笔记（核心内容）</w:t>
      </w:r>
    </w:p>
    <w:p w14:paraId="6F9B1A9A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（1）半两钱：北洞山楚王墓出土，外轮廓为圆形，中间为正方形方孔，直径2-3.3厘米，厚度0.1-0.2厘米，直径与方孔边长比例约4:1，体现圆形、正方形的几何特征与固定比例关系。</w:t>
      </w:r>
    </w:p>
    <w:p w14:paraId="0A9FCE9F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（2）正隆元宝：金代钱币，圆形方孔，直径约2.4厘米，穿径（方孔边长）0.6厘米，厚度0.15厘米，对称设计明显，直径与穿径比例4:1，纹饰为中心对称图形。</w:t>
      </w:r>
    </w:p>
    <w:p w14:paraId="583939DB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（3）平肩空首布：先秦时期钱币，两足内凹形成弧裆，经实测圆心夹角60°，六枚布币的弧裆可合成一个完整圆形，体现弧的性质与比例关系，与尺规作图中“补全圆弧”考点契合。</w:t>
      </w:r>
    </w:p>
    <w:p w14:paraId="4CC65316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（三）研究记录</w:t>
      </w:r>
    </w:p>
    <w:p w14:paraId="1C571645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</w:rPr>
        <w:t>1. 第一次</w:t>
      </w:r>
      <w:r>
        <w:rPr>
          <w:rFonts w:hint="eastAsia" w:ascii="楷体" w:hAnsi="楷体" w:eastAsia="楷体" w:cs="楷体"/>
          <w:lang w:val="en-US" w:eastAsia="zh-CN"/>
        </w:rPr>
        <w:t>研究</w:t>
      </w:r>
    </w:p>
    <w:p w14:paraId="4E561AD9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主题：中考真题分析成果交流与研究难点梳理</w:t>
      </w:r>
    </w:p>
    <w:p w14:paraId="19ED868A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内容：课题组成员交流中考真题分析结果，明确核心考点与出题趋势；梳理研究难点——古钱币尺寸磨损导致的数据不准确、预测题难度把控不准；确定解决方案：结合考古资料修正古钱币尺寸数据，参考近五年中考真题难度，分步骤设计预测题。</w:t>
      </w:r>
    </w:p>
    <w:p w14:paraId="2CEA7319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</w:rPr>
        <w:t>2. 第二次</w:t>
      </w:r>
      <w:r>
        <w:rPr>
          <w:rFonts w:hint="eastAsia" w:ascii="楷体" w:hAnsi="楷体" w:eastAsia="楷体" w:cs="楷体"/>
          <w:lang w:val="en-US" w:eastAsia="zh-CN"/>
        </w:rPr>
        <w:t>研究</w:t>
      </w:r>
    </w:p>
    <w:p w14:paraId="58FFF7AE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主题：古钱币数学知识挖掘成果交流与预测题设计讨论</w:t>
      </w:r>
    </w:p>
    <w:p w14:paraId="3A644675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内容：交流古钱币中几何图形、比例、对称等数学元素的挖掘成果，建立与尺规作图考点的关联；讨论预测题的背景设计、作图要求、设问形式，确定以“半两钱残缺轮廓”为背景，考查“补全圆形+作正方形+计算”，贴合中考难度。</w:t>
      </w:r>
    </w:p>
    <w:p w14:paraId="12D5F0D0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（四）预测题设计与打磨材料</w:t>
      </w:r>
    </w:p>
    <w:p w14:paraId="0C480F35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1. 预测题初稿</w:t>
      </w:r>
    </w:p>
    <w:p w14:paraId="7B9D4C5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题目：徐州博物馆馆藏一枚西汉“半两”钱，其形制为圆形方孔，现给出该钱币的残缺轮廓（仅保留一段圆弧AB），请用无刻度的直尺和圆规补全该钱币的外轮廓（圆形），并作出方孔（正方形），保留作图痕迹，不写作法；若测得弦AB=2√3 cm，求圆的半径。</w:t>
      </w:r>
    </w:p>
    <w:p w14:paraId="18AC1C6F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2. 打磨修改记录</w:t>
      </w:r>
    </w:p>
    <w:p w14:paraId="6CCF8E2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第一次修改：增加方孔顶点C，明确方孔位置，使作图要求更具体，贴合中考“给出部分图形补全”的题型特点；</w:t>
      </w:r>
    </w:p>
    <w:p w14:paraId="77DCDFB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第二次修改：完善设问，分为作图题与计算题两问，计算题增加方孔边长计算，考查正方形性质，贴合中考“作图+综合计算”的设问形式；</w:t>
      </w:r>
    </w:p>
    <w:p w14:paraId="66B1E9D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第三次修改：细化题目条件，明确弦AB到圆心的距离，确保计算数据合理，解析过程严谨，符合中考评分标准；</w:t>
      </w:r>
    </w:p>
    <w:p w14:paraId="05DE05D2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第四次修改（难度提升）：增加作图复杂度，要求作正方形的内切圆（方孔内作小圆），并增加角度计算、线段比例换算，提升计算难度，贴合中考区分度题型要求，完善解析与评分标准。</w:t>
      </w:r>
    </w:p>
    <w:p w14:paraId="25AB0E52">
      <w:pPr>
        <w:pStyle w:val="5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3. 最终预测题及解析</w:t>
      </w:r>
    </w:p>
    <w:p w14:paraId="3E787B65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（与结题报告中预测题一致，此处略，详见结题报告相关部分）</w:t>
      </w:r>
    </w:p>
    <w:p w14:paraId="2FE10CC3">
      <w:pPr>
        <w:pStyle w:val="4"/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（五）研究过程反思</w:t>
      </w:r>
    </w:p>
    <w:p w14:paraId="5B59707D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1. 亮点：研究过程贴合开题方案，分工明确、进度有序，实地调研确保了古钱币数学知识挖掘的准确性，真题分析全面，预测题设计贴合徐州中考实际，实现了文化与学科的融合。</w:t>
      </w:r>
    </w:p>
    <w:p w14:paraId="2D7612F9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2. 不足：古钱币部分磨损严重，部分尺寸数据无法精准测量，需依赖考古资料补充；预测题的难度打磨耗时较长，需反复参考中考真题调整；对古钱币数学知识与尺规作图考点的关联分析可进一步深化。</w:t>
      </w:r>
    </w:p>
    <w:p w14:paraId="361CED27">
      <w:pPr>
        <w:keepNext w:val="0"/>
        <w:keepLines w:val="0"/>
        <w:widowControl/>
        <w:suppressLineNumbers w:val="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kern w:val="0"/>
          <w:sz w:val="24"/>
          <w:szCs w:val="24"/>
          <w:lang w:val="en-US" w:eastAsia="zh-CN" w:bidi="ar"/>
        </w:rPr>
        <w:t>3. 改进措施：后续补充相关考古文献，完善古钱币尺寸数据；结合更多徐州中考模拟题，进一步优化预测题，提升贴合度；深化古钱币数学元素与尺规作图考点的关联，丰富备考建议。</w:t>
      </w:r>
    </w:p>
    <w:p w14:paraId="69707C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</w:t>
      </w:r>
    </w:p>
    <w:p w14:paraId="206603A9">
      <w:pPr>
        <w:rPr>
          <w:rFonts w:hint="eastAsia"/>
          <w:lang w:val="en-US" w:eastAsia="zh-CN"/>
        </w:rPr>
      </w:pPr>
    </w:p>
    <w:p w14:paraId="1D40ECD8">
      <w:pPr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2026年2月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D2391"/>
    <w:rsid w:val="5B1D74CF"/>
    <w:rsid w:val="62042136"/>
    <w:rsid w:val="63871027"/>
    <w:rsid w:val="70F325ED"/>
    <w:rsid w:val="71C9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2193</Words>
  <Characters>2285</Characters>
  <Lines>0</Lines>
  <Paragraphs>0</Paragraphs>
  <TotalTime>0</TotalTime>
  <ScaleCrop>false</ScaleCrop>
  <LinksUpToDate>false</LinksUpToDate>
  <CharactersWithSpaces>2514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2026-03-08T08:39:00Z</dcterms:created>
  <dc:creator>dell</dc:creator>
  <cp:lastModifiedBy>朱</cp:lastModifiedBy>
  <dcterms:modified xsi:type="dcterms:W3CDTF">2026-03-10T07:13:05Z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eyJoZGlkIjoiY2MzYWFhMTc3N2ExMmNkMGE2ZDJjODg0ZjQwZGEyYWIiLCJ1c2VySWQiOiIyMjgxODY5MDIifQ==</vt:lpwstr>
  </property>
  <property fmtid="{D5CDD505-2E9C-101B-9397-08002B2CF9AE}" pid="4" name="ICV">
    <vt:lpwstr>AB845A27E63F4684B99101DFC7D8F0E9_12</vt:lpwstr>
  </property>
</Properties>
</file>