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1CBAB">
      <w:pPr>
        <w:spacing w:before="120" w:after="240" w:line="500" w:lineRule="exact"/>
        <w:jc w:val="center"/>
        <w:rPr>
          <w:rFonts w:hint="eastAsia"/>
          <w:b/>
          <w:bCs/>
          <w:sz w:val="52"/>
          <w:szCs w:val="52"/>
        </w:rPr>
      </w:pPr>
    </w:p>
    <w:p w14:paraId="35180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240" w:line="600" w:lineRule="exact"/>
        <w:jc w:val="both"/>
        <w:textAlignment w:val="auto"/>
        <w:rPr>
          <w:rFonts w:hint="eastAsia"/>
          <w:b/>
          <w:bCs/>
          <w:sz w:val="52"/>
          <w:szCs w:val="52"/>
          <w:lang w:eastAsia="zh-CN"/>
        </w:rPr>
      </w:pPr>
    </w:p>
    <w:p w14:paraId="5F99B1C1">
      <w:pPr>
        <w:pStyle w:val="2"/>
        <w:keepNext w:val="0"/>
        <w:keepLines w:val="0"/>
        <w:widowControl/>
        <w:suppressLineNumbers w:val="0"/>
        <w:jc w:val="center"/>
        <w:rPr>
          <w:rFonts w:hint="eastAsia" w:ascii="楷体" w:hAnsi="楷体" w:eastAsia="楷体" w:cs="楷体"/>
          <w:sz w:val="48"/>
          <w:szCs w:val="48"/>
        </w:rPr>
      </w:pPr>
      <w:bookmarkStart w:id="0" w:name="_GoBack"/>
      <w:r>
        <w:rPr>
          <w:rFonts w:hint="eastAsia" w:ascii="楷体" w:hAnsi="楷体" w:eastAsia="楷体" w:cs="楷体"/>
          <w:sz w:val="48"/>
          <w:szCs w:val="48"/>
        </w:rPr>
        <w:t>徐州文化古钱币中的数学知识探究</w:t>
      </w:r>
    </w:p>
    <w:p w14:paraId="23AB4836">
      <w:pPr>
        <w:pStyle w:val="2"/>
        <w:keepNext w:val="0"/>
        <w:keepLines w:val="0"/>
        <w:widowControl/>
        <w:suppressLineNumbers w:val="0"/>
        <w:jc w:val="center"/>
        <w:rPr>
          <w:rFonts w:hint="eastAsia" w:ascii="楷体" w:hAnsi="楷体" w:eastAsia="楷体" w:cs="楷体"/>
          <w:sz w:val="48"/>
          <w:szCs w:val="48"/>
        </w:rPr>
      </w:pPr>
      <w:r>
        <w:rPr>
          <w:rFonts w:hint="eastAsia" w:ascii="楷体" w:hAnsi="楷体" w:eastAsia="楷体" w:cs="楷体"/>
          <w:sz w:val="48"/>
          <w:szCs w:val="48"/>
        </w:rPr>
        <w:t>及中考尺规作图题预测开题报告</w:t>
      </w:r>
    </w:p>
    <w:bookmarkEnd w:id="0"/>
    <w:p w14:paraId="5E67D3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240" w:line="6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</w:p>
    <w:p w14:paraId="4CEE8680">
      <w:pPr>
        <w:rPr>
          <w:rFonts w:hint="eastAsia"/>
        </w:rPr>
      </w:pPr>
    </w:p>
    <w:p w14:paraId="7DFACF07">
      <w:pPr>
        <w:rPr>
          <w:rFonts w:hint="eastAsia"/>
        </w:rPr>
      </w:pPr>
    </w:p>
    <w:p w14:paraId="4A8AA8E9">
      <w:pPr>
        <w:rPr>
          <w:rFonts w:hint="eastAsia"/>
        </w:rPr>
      </w:pPr>
    </w:p>
    <w:p w14:paraId="6CEBA959">
      <w:pPr>
        <w:rPr>
          <w:rFonts w:hint="eastAsia"/>
        </w:rPr>
      </w:pPr>
    </w:p>
    <w:p w14:paraId="451AD58D">
      <w:pPr>
        <w:rPr>
          <w:rFonts w:hint="eastAsia"/>
        </w:rPr>
      </w:pPr>
    </w:p>
    <w:p w14:paraId="583596E3">
      <w:pPr>
        <w:rPr>
          <w:rFonts w:hint="eastAsia"/>
        </w:rPr>
      </w:pPr>
    </w:p>
    <w:p w14:paraId="720C95DB">
      <w:pPr>
        <w:rPr>
          <w:rFonts w:hint="eastAsia"/>
        </w:rPr>
      </w:pPr>
    </w:p>
    <w:p w14:paraId="5FF3ED5A">
      <w:pPr>
        <w:rPr>
          <w:rFonts w:hint="eastAsia"/>
        </w:rPr>
      </w:pPr>
    </w:p>
    <w:p w14:paraId="151B7769">
      <w:pPr>
        <w:rPr>
          <w:rFonts w:hint="eastAsia"/>
        </w:rPr>
      </w:pPr>
    </w:p>
    <w:p w14:paraId="297F7985">
      <w:pPr>
        <w:rPr>
          <w:rFonts w:hint="eastAsia"/>
        </w:rPr>
      </w:pPr>
    </w:p>
    <w:p w14:paraId="5E61126C">
      <w:pPr>
        <w:rPr>
          <w:rFonts w:hint="eastAsia"/>
        </w:rPr>
      </w:pPr>
    </w:p>
    <w:p w14:paraId="2757CAA4">
      <w:pPr>
        <w:rPr>
          <w:rFonts w:hint="eastAsia"/>
        </w:rPr>
      </w:pPr>
    </w:p>
    <w:p w14:paraId="4216857C">
      <w:pPr>
        <w:rPr>
          <w:rFonts w:hint="eastAsia"/>
        </w:rPr>
      </w:pPr>
    </w:p>
    <w:p w14:paraId="4687983C">
      <w:pPr>
        <w:adjustRightInd w:val="0"/>
        <w:snapToGrid w:val="0"/>
        <w:spacing w:line="480" w:lineRule="auto"/>
        <w:ind w:firstLine="640" w:firstLineChars="200"/>
        <w:rPr>
          <w:rFonts w:hint="eastAsia" w:eastAsia="仿宋_GB2312"/>
          <w:sz w:val="32"/>
          <w:szCs w:val="20"/>
          <w:u w:val="single"/>
        </w:rPr>
      </w:pPr>
      <w:r>
        <w:rPr>
          <w:rFonts w:hint="eastAsia" w:eastAsia="仿宋_GB2312"/>
          <w:sz w:val="32"/>
          <w:szCs w:val="20"/>
          <w:lang w:eastAsia="zh-CN"/>
        </w:rPr>
        <w:t>学</w:t>
      </w:r>
      <w:r>
        <w:rPr>
          <w:rFonts w:hint="eastAsia" w:eastAsia="仿宋_GB2312"/>
          <w:sz w:val="32"/>
          <w:szCs w:val="20"/>
          <w:lang w:val="en-US" w:eastAsia="zh-CN"/>
        </w:rPr>
        <w:t xml:space="preserve">       </w:t>
      </w:r>
      <w:r>
        <w:rPr>
          <w:rFonts w:hint="eastAsia" w:eastAsia="仿宋_GB2312"/>
          <w:sz w:val="32"/>
          <w:szCs w:val="20"/>
          <w:lang w:eastAsia="zh-CN"/>
        </w:rPr>
        <w:t>校</w:t>
      </w:r>
      <w:r>
        <w:rPr>
          <w:rFonts w:hint="eastAsia" w:eastAsia="仿宋_GB2312"/>
          <w:sz w:val="32"/>
          <w:szCs w:val="20"/>
        </w:rPr>
        <w:t>：</w:t>
      </w:r>
      <w:r>
        <w:rPr>
          <w:rFonts w:hint="eastAsia" w:eastAsia="仿宋_GB2312"/>
          <w:sz w:val="32"/>
          <w:szCs w:val="20"/>
          <w:u w:val="single"/>
        </w:rPr>
        <w:t xml:space="preserve"> 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   </w:t>
      </w:r>
      <w:r>
        <w:rPr>
          <w:rFonts w:hint="eastAsia" w:eastAsia="仿宋_GB2312"/>
          <w:sz w:val="32"/>
          <w:szCs w:val="20"/>
          <w:u w:val="single"/>
          <w:lang w:eastAsia="zh-CN"/>
        </w:rPr>
        <w:t>中国矿业大学附属中学</w:t>
      </w:r>
      <w:r>
        <w:rPr>
          <w:rFonts w:hint="eastAsia" w:eastAsia="仿宋_GB2312"/>
          <w:sz w:val="32"/>
          <w:szCs w:val="20"/>
          <w:u w:val="single"/>
        </w:rPr>
        <w:t xml:space="preserve">   </w:t>
      </w:r>
    </w:p>
    <w:p w14:paraId="39CCDD5C">
      <w:pPr>
        <w:adjustRightInd w:val="0"/>
        <w:snapToGrid w:val="0"/>
        <w:spacing w:line="480" w:lineRule="auto"/>
        <w:ind w:firstLine="608" w:firstLineChars="200"/>
        <w:rPr>
          <w:rFonts w:hint="eastAsia" w:eastAsia="仿宋_GB2312"/>
          <w:sz w:val="32"/>
          <w:szCs w:val="20"/>
          <w:u w:val="single"/>
        </w:rPr>
      </w:pPr>
      <w:r>
        <w:rPr>
          <w:rFonts w:hint="eastAsia" w:eastAsia="仿宋_GB2312"/>
          <w:spacing w:val="-8"/>
          <w:sz w:val="32"/>
          <w:szCs w:val="20"/>
          <w:lang w:eastAsia="zh-CN"/>
        </w:rPr>
        <w:t>班</w:t>
      </w:r>
      <w:r>
        <w:rPr>
          <w:rFonts w:hint="eastAsia" w:eastAsia="仿宋_GB2312"/>
          <w:spacing w:val="-8"/>
          <w:sz w:val="32"/>
          <w:szCs w:val="20"/>
          <w:lang w:val="en-US" w:eastAsia="zh-CN"/>
        </w:rPr>
        <w:t xml:space="preserve">        </w:t>
      </w:r>
      <w:r>
        <w:rPr>
          <w:rFonts w:hint="eastAsia" w:eastAsia="仿宋_GB2312"/>
          <w:spacing w:val="-8"/>
          <w:sz w:val="32"/>
          <w:szCs w:val="20"/>
          <w:lang w:eastAsia="zh-CN"/>
        </w:rPr>
        <w:t>级</w:t>
      </w:r>
      <w:r>
        <w:rPr>
          <w:rFonts w:hint="eastAsia" w:eastAsia="仿宋_GB2312"/>
          <w:sz w:val="32"/>
          <w:szCs w:val="20"/>
        </w:rPr>
        <w:t>：</w:t>
      </w:r>
      <w:r>
        <w:rPr>
          <w:rFonts w:hint="eastAsia" w:eastAsia="仿宋_GB2312"/>
          <w:sz w:val="32"/>
          <w:szCs w:val="20"/>
          <w:u w:val="single"/>
        </w:rPr>
        <w:t xml:space="preserve">     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u w:val="single"/>
        </w:rPr>
        <w:t xml:space="preserve">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u w:val="single"/>
          <w:lang w:eastAsia="zh-CN"/>
        </w:rPr>
        <w:t>初三（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>1班</w:t>
      </w:r>
      <w:r>
        <w:rPr>
          <w:rFonts w:hint="eastAsia" w:eastAsia="仿宋_GB2312"/>
          <w:sz w:val="32"/>
          <w:szCs w:val="20"/>
          <w:u w:val="single"/>
          <w:lang w:eastAsia="zh-CN"/>
        </w:rPr>
        <w:t>）</w:t>
      </w:r>
      <w:r>
        <w:rPr>
          <w:rFonts w:hint="eastAsia" w:eastAsia="仿宋_GB2312"/>
          <w:sz w:val="32"/>
          <w:szCs w:val="20"/>
          <w:u w:val="single"/>
        </w:rPr>
        <w:t xml:space="preserve">         </w:t>
      </w:r>
    </w:p>
    <w:p w14:paraId="24822CF0">
      <w:pPr>
        <w:adjustRightInd w:val="0"/>
        <w:snapToGrid w:val="0"/>
        <w:spacing w:line="480" w:lineRule="auto"/>
        <w:ind w:firstLine="696" w:firstLineChars="200"/>
        <w:rPr>
          <w:rFonts w:hint="eastAsia" w:eastAsia="仿宋_GB2312"/>
          <w:sz w:val="32"/>
          <w:szCs w:val="20"/>
          <w:u w:val="single"/>
        </w:rPr>
      </w:pPr>
      <w:r>
        <w:rPr>
          <w:rFonts w:hint="eastAsia" w:eastAsia="仿宋_GB2312"/>
          <w:spacing w:val="14"/>
          <w:sz w:val="32"/>
          <w:szCs w:val="20"/>
          <w:lang w:eastAsia="zh-CN"/>
        </w:rPr>
        <w:t>主</w:t>
      </w:r>
      <w:r>
        <w:rPr>
          <w:rFonts w:hint="eastAsia" w:eastAsia="仿宋_GB2312"/>
          <w:spacing w:val="14"/>
          <w:sz w:val="32"/>
          <w:szCs w:val="20"/>
          <w:lang w:val="en-US" w:eastAsia="zh-CN"/>
        </w:rPr>
        <w:t xml:space="preserve">  </w:t>
      </w:r>
      <w:r>
        <w:rPr>
          <w:rFonts w:hint="eastAsia" w:eastAsia="仿宋_GB2312"/>
          <w:spacing w:val="14"/>
          <w:sz w:val="32"/>
          <w:szCs w:val="20"/>
          <w:lang w:eastAsia="zh-CN"/>
        </w:rPr>
        <w:t>持</w:t>
      </w:r>
      <w:r>
        <w:rPr>
          <w:rFonts w:hint="eastAsia" w:eastAsia="仿宋_GB2312"/>
          <w:spacing w:val="14"/>
          <w:sz w:val="32"/>
          <w:szCs w:val="20"/>
          <w:lang w:val="en-US" w:eastAsia="zh-CN"/>
        </w:rPr>
        <w:t xml:space="preserve">  </w:t>
      </w:r>
      <w:r>
        <w:rPr>
          <w:rFonts w:hint="eastAsia" w:eastAsia="仿宋_GB2312"/>
          <w:spacing w:val="14"/>
          <w:sz w:val="32"/>
          <w:szCs w:val="20"/>
        </w:rPr>
        <w:t>人</w:t>
      </w:r>
      <w:r>
        <w:rPr>
          <w:rFonts w:hint="eastAsia" w:eastAsia="仿宋_GB2312"/>
          <w:sz w:val="32"/>
          <w:szCs w:val="20"/>
        </w:rPr>
        <w:t>：</w:t>
      </w:r>
      <w:r>
        <w:rPr>
          <w:rFonts w:hint="eastAsia" w:eastAsia="仿宋_GB2312"/>
          <w:sz w:val="32"/>
          <w:szCs w:val="20"/>
          <w:u w:val="single"/>
        </w:rPr>
        <w:t xml:space="preserve">    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 </w:t>
      </w:r>
      <w:r>
        <w:rPr>
          <w:rFonts w:hint="eastAsia" w:eastAsia="仿宋_GB2312"/>
          <w:sz w:val="32"/>
          <w:szCs w:val="20"/>
          <w:u w:val="single"/>
        </w:rPr>
        <w:t xml:space="preserve">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u w:val="single"/>
        </w:rPr>
        <w:t xml:space="preserve"> </w:t>
      </w:r>
      <w:r>
        <w:rPr>
          <w:rFonts w:hint="eastAsia" w:eastAsia="仿宋_GB2312"/>
          <w:sz w:val="32"/>
          <w:szCs w:val="20"/>
          <w:u w:val="single"/>
          <w:lang w:eastAsia="zh-CN"/>
        </w:rPr>
        <w:t>朱羿霖</w:t>
      </w:r>
      <w:r>
        <w:rPr>
          <w:rFonts w:hint="eastAsia" w:eastAsia="仿宋_GB2312"/>
          <w:sz w:val="32"/>
          <w:szCs w:val="20"/>
          <w:u w:val="single"/>
        </w:rPr>
        <w:t xml:space="preserve">  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 </w:t>
      </w:r>
      <w:r>
        <w:rPr>
          <w:rFonts w:hint="eastAsia" w:eastAsia="仿宋_GB2312"/>
          <w:sz w:val="32"/>
          <w:szCs w:val="20"/>
          <w:u w:val="single"/>
        </w:rPr>
        <w:t xml:space="preserve">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 </w:t>
      </w:r>
      <w:r>
        <w:rPr>
          <w:rFonts w:hint="eastAsia" w:eastAsia="仿宋_GB2312"/>
          <w:sz w:val="32"/>
          <w:szCs w:val="20"/>
          <w:u w:val="single"/>
        </w:rPr>
        <w:t xml:space="preserve">     </w:t>
      </w:r>
    </w:p>
    <w:p w14:paraId="5F29F489">
      <w:pPr>
        <w:adjustRightInd w:val="0"/>
        <w:snapToGrid w:val="0"/>
        <w:spacing w:line="480" w:lineRule="auto"/>
        <w:ind w:firstLine="640" w:firstLineChars="200"/>
        <w:rPr>
          <w:rFonts w:hint="eastAsia" w:eastAsia="仿宋_GB2312"/>
          <w:sz w:val="32"/>
          <w:szCs w:val="20"/>
          <w:u w:val="single"/>
        </w:rPr>
      </w:pPr>
      <w:r>
        <w:rPr>
          <w:rFonts w:hint="eastAsia" w:eastAsia="仿宋_GB2312"/>
          <w:sz w:val="32"/>
          <w:szCs w:val="20"/>
          <w:lang w:eastAsia="zh-CN"/>
        </w:rPr>
        <w:t>指</w:t>
      </w:r>
      <w:r>
        <w:rPr>
          <w:rFonts w:hint="eastAsia" w:eastAsia="仿宋_GB2312"/>
          <w:sz w:val="32"/>
          <w:szCs w:val="20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lang w:eastAsia="zh-CN"/>
        </w:rPr>
        <w:t>导</w:t>
      </w:r>
      <w:r>
        <w:rPr>
          <w:rFonts w:hint="eastAsia" w:eastAsia="仿宋_GB2312"/>
          <w:sz w:val="32"/>
          <w:szCs w:val="20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lang w:eastAsia="zh-CN"/>
        </w:rPr>
        <w:t>老</w:t>
      </w:r>
      <w:r>
        <w:rPr>
          <w:rFonts w:hint="eastAsia" w:eastAsia="仿宋_GB2312"/>
          <w:sz w:val="32"/>
          <w:szCs w:val="20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lang w:eastAsia="zh-CN"/>
        </w:rPr>
        <w:t>师</w:t>
      </w:r>
      <w:r>
        <w:rPr>
          <w:rFonts w:hint="eastAsia" w:eastAsia="仿宋_GB2312"/>
          <w:sz w:val="32"/>
          <w:szCs w:val="20"/>
        </w:rPr>
        <w:t>：</w:t>
      </w:r>
      <w:r>
        <w:rPr>
          <w:rFonts w:hint="eastAsia" w:eastAsia="仿宋_GB2312"/>
          <w:sz w:val="32"/>
          <w:szCs w:val="20"/>
          <w:u w:val="single"/>
        </w:rPr>
        <w:t xml:space="preserve">        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u w:val="single"/>
        </w:rPr>
        <w:t xml:space="preserve"> </w:t>
      </w:r>
      <w:r>
        <w:rPr>
          <w:rFonts w:hint="eastAsia" w:eastAsia="仿宋_GB2312"/>
          <w:sz w:val="32"/>
          <w:szCs w:val="20"/>
          <w:u w:val="single"/>
          <w:lang w:eastAsia="zh-CN"/>
        </w:rPr>
        <w:t>张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u w:val="single"/>
          <w:lang w:eastAsia="zh-CN"/>
        </w:rPr>
        <w:t>欣</w:t>
      </w:r>
      <w:r>
        <w:rPr>
          <w:rFonts w:hint="eastAsia" w:eastAsia="仿宋_GB2312"/>
          <w:sz w:val="32"/>
          <w:szCs w:val="20"/>
          <w:u w:val="single"/>
        </w:rPr>
        <w:t xml:space="preserve">         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u w:val="single"/>
        </w:rPr>
        <w:t xml:space="preserve">  </w:t>
      </w:r>
    </w:p>
    <w:p w14:paraId="6C9F5776">
      <w:pPr>
        <w:rPr>
          <w:rFonts w:hint="eastAsia"/>
        </w:rPr>
      </w:pPr>
    </w:p>
    <w:p w14:paraId="07A664B9">
      <w:pPr>
        <w:rPr>
          <w:rFonts w:hint="eastAsia"/>
        </w:rPr>
      </w:pPr>
    </w:p>
    <w:p w14:paraId="3B458305">
      <w:pPr>
        <w:rPr>
          <w:rFonts w:hint="eastAsia"/>
        </w:rPr>
      </w:pPr>
    </w:p>
    <w:p w14:paraId="180FDE9B">
      <w:pPr>
        <w:rPr>
          <w:rFonts w:hint="eastAsia"/>
        </w:rPr>
      </w:pPr>
    </w:p>
    <w:p w14:paraId="7EC9E3C6">
      <w:pPr>
        <w:pStyle w:val="2"/>
        <w:keepNext w:val="0"/>
        <w:keepLines w:val="0"/>
        <w:widowControl/>
        <w:suppressLineNumbers w:val="0"/>
        <w:jc w:val="both"/>
        <w:rPr>
          <w:rFonts w:hint="eastAsia" w:ascii="楷体" w:hAnsi="楷体" w:eastAsia="楷体" w:cs="楷体"/>
          <w:lang w:eastAsia="zh-CN"/>
        </w:rPr>
      </w:pPr>
    </w:p>
    <w:p w14:paraId="26800323">
      <w:pPr>
        <w:pStyle w:val="2"/>
        <w:keepNext w:val="0"/>
        <w:keepLines w:val="0"/>
        <w:widowControl/>
        <w:suppressLineNumbers w:val="0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《</w:t>
      </w:r>
      <w:r>
        <w:rPr>
          <w:rFonts w:hint="eastAsia" w:ascii="楷体" w:hAnsi="楷体" w:eastAsia="楷体" w:cs="楷体"/>
        </w:rPr>
        <w:t>徐州文化古钱币中的数学知识探究及中考尺规作图题预测</w:t>
      </w:r>
      <w:r>
        <w:rPr>
          <w:rFonts w:hint="eastAsia" w:ascii="楷体" w:hAnsi="楷体" w:eastAsia="楷体" w:cs="楷体"/>
          <w:lang w:eastAsia="zh-CN"/>
        </w:rPr>
        <w:t>》</w:t>
      </w:r>
      <w:r>
        <w:rPr>
          <w:rFonts w:hint="eastAsia" w:ascii="楷体" w:hAnsi="楷体" w:eastAsia="楷体" w:cs="楷体"/>
        </w:rPr>
        <w:t>开题报告</w:t>
      </w:r>
    </w:p>
    <w:p w14:paraId="6788D39E">
      <w:pPr>
        <w:jc w:val="center"/>
        <w:rPr>
          <w:rFonts w:hint="eastAsia"/>
        </w:rPr>
      </w:pPr>
      <w:r>
        <w:rPr>
          <w:rFonts w:hint="eastAsia" w:ascii="楷体" w:hAnsi="楷体" w:eastAsia="楷体" w:cs="楷体"/>
          <w:b/>
          <w:bCs/>
          <w:sz w:val="24"/>
          <w:szCs w:val="32"/>
          <w:lang w:val="en-US" w:eastAsia="zh-CN"/>
        </w:rPr>
        <w:t>中国矿业大学附属中学  初三（1）班朱羿霖</w:t>
      </w:r>
    </w:p>
    <w:p w14:paraId="643FBE9A">
      <w:pPr>
        <w:pStyle w:val="3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一、课题名称</w:t>
      </w:r>
    </w:p>
    <w:p w14:paraId="06200ADD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徐州文化古钱币中的数学知识探究及中考尺规作图题预测</w:t>
      </w:r>
    </w:p>
    <w:p w14:paraId="3EB7ADB6">
      <w:pPr>
        <w:pStyle w:val="3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二、课题研究背景与意义</w:t>
      </w:r>
    </w:p>
    <w:p w14:paraId="7B068A44">
      <w:pPr>
        <w:pStyle w:val="4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（一）研究背景</w:t>
      </w:r>
    </w:p>
    <w:p w14:paraId="7E2ACDD6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近年来，徐州中考数学对尺规作图的考查热度持续攀升，成为几何板块的核心考点之一。结合近五年徐州中考真题分析，尺规作图题型呈现“基础扎实、贴合文化、综合提升”的趋势，不再局限于单一作图操作，更注重与本土文化、实际场景的融合，考查学生的几何应用能力与文化素养。</w:t>
      </w:r>
    </w:p>
    <w:p w14:paraId="3214B79B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徐州作为两汉文化的发源地，拥有丰富的历史文物资源，徐州博物馆馆藏的古钱币（如西汉“半两”钱、金代“正隆元宝”、新莽“货泉”等）承载着千年的文化底蕴与数学智慧。这些古钱币的形制、尺寸、纹饰中蕴含着大量的几何图形、比例关系、对称性质等数学知识，与中考尺规作图的考查要点高度契合。</w:t>
      </w:r>
    </w:p>
    <w:p w14:paraId="5ECD9FAA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当前，中考复习多聚焦于题型训练，缺乏对本土文化素材与学科考点的深度结合，导致学生对尺规作图的应用理解不够透彻，同时对本土文化的了解较为匮乏。基于此，开展本课题研究，实现“文化传承+学科备考”的双重目标，具有重要的现实意义。</w:t>
      </w:r>
    </w:p>
    <w:p w14:paraId="2299EAE0">
      <w:pPr>
        <w:pStyle w:val="4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（二）研究意义</w:t>
      </w:r>
    </w:p>
    <w:p w14:paraId="2800F394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1. 学科意义：梳理徐州中考尺规作图的出题规律，挖掘古钱币中的数学知识，搭建“文化素材—数学考点”的桥梁，丰富中考几何复习的素材库，帮助学生理解尺规作图的本质，提升几何应用能力与解题技巧。</w:t>
      </w:r>
    </w:p>
    <w:p w14:paraId="33CAD372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2. 文化意义：以数学视角解读徐州古钱币文化，让学生在备考过程中了解徐州的历史文物，感受古钱币背后的数学智慧与古代劳动人民的创造力，传承本土文化，增强文化自信。</w:t>
      </w:r>
    </w:p>
    <w:p w14:paraId="0D1EBAA9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3. 实践意义：结合中考难度预测相关题型，为教师教学、学生复习提供具体的方向，助力学生高效备考，同时引导学生关注生活中的数学，培养“用数学眼光看文化”的思维习惯。</w:t>
      </w:r>
    </w:p>
    <w:p w14:paraId="376AD986">
      <w:pPr>
        <w:pStyle w:val="3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三、国内外研究现状</w:t>
      </w:r>
    </w:p>
    <w:p w14:paraId="14380132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国内方面，目前关于中考尺规作图的研究多集中于题型解析、解题技巧总结，部分研究结合本土文化开展，但针对徐州古钱币与尺规作图结合的专项研究较为匮乏；关于古钱币的研究多集中于历史、考古领域，对其蕴含的数学知识挖掘不够深入，尤其缺乏与中考考点的关联分析。</w:t>
      </w:r>
    </w:p>
    <w:p w14:paraId="61E011DC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国外方面，尺规作图作为几何基础内容，相关研究侧重理论与应用的结合，但由于中外历史文化、中考制度的差异，国外研究无法适配徐州中考的命题特点，也缺乏对中国古钱币文化与数学结合的相关内容。</w:t>
      </w:r>
    </w:p>
    <w:p w14:paraId="698A4DD5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综上，本课题立足徐州本土文化与中考实际，填补了徐州古钱币数学知识与中考尺规作图结合研究的空白，具有鲜明的地域特色与实践价值。</w:t>
      </w:r>
    </w:p>
    <w:p w14:paraId="39722D98">
      <w:pPr>
        <w:pStyle w:val="3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四、研究目标与内容</w:t>
      </w:r>
    </w:p>
    <w:p w14:paraId="3D5520F6">
      <w:pPr>
        <w:pStyle w:val="4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（一）研究目标</w:t>
      </w:r>
    </w:p>
    <w:p w14:paraId="62985DE6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1. 梳理近五年徐州中考数学尺规作图的出题趋势、核心考点与出题流程，明确备考重点。</w:t>
      </w:r>
    </w:p>
    <w:p w14:paraId="76692329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2. 挖掘徐州博物馆古钱币中的数学知识（几何图形、比例关系、对称性质等），建立古钱币文化与尺规作图考点的关联。</w:t>
      </w:r>
    </w:p>
    <w:p w14:paraId="3AF932C5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3. 结合中考难度，预测一道融合古钱币文化的尺规作图题，为中考复习提供针对性参考。</w:t>
      </w:r>
    </w:p>
    <w:p w14:paraId="41645AEA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4. 形成完整的课题研究报告，提出切实可行的中考备考建议，实现文化传承与学科备考的融合。</w:t>
      </w:r>
    </w:p>
    <w:p w14:paraId="01422935">
      <w:pPr>
        <w:pStyle w:val="4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（二）研究内容</w:t>
      </w:r>
    </w:p>
    <w:p w14:paraId="5FEF005C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1. 近五年徐州中考尺规作图出题趋势分析：整理2021-2025年徐州中考数学尺规作图真题，分析考查频率、核心考点、出题形式、难度梯度及本土文化融合特点，梳理出题流程。</w:t>
      </w:r>
    </w:p>
    <w:p w14:paraId="416BE2B3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2. 徐州博物馆古钱币中的数学知识挖掘：调研徐州博物馆馆藏古钱币，重点分析“半两”钱、“正隆元宝”、平肩空首布等典型古钱币的形制、尺寸、纹饰，提炼其中的几何图形、比例关系、对称性质，探究其与尺规作图考点的关联。</w:t>
      </w:r>
    </w:p>
    <w:p w14:paraId="0B6DE832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3. 中考尺规作图题预测：结合出题趋势与古钱币数学知识，设计一道贴合中考难度、融入古钱币文化的尺规作图题，配套解析与评分标准。</w:t>
      </w:r>
    </w:p>
    <w:p w14:paraId="66AD0C23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4. 备考建议制定：基于研究结果，针对学生复习、教师教学，提出贴合徐州中考实际的尺规作图备考建议。</w:t>
      </w:r>
    </w:p>
    <w:p w14:paraId="01322D0F">
      <w:pPr>
        <w:pStyle w:val="3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五、研究方法与步骤</w:t>
      </w:r>
    </w:p>
    <w:p w14:paraId="130619C7">
      <w:pPr>
        <w:pStyle w:val="4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（一）研究方法</w:t>
      </w:r>
    </w:p>
    <w:p w14:paraId="22C9CB3D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1. 文献研究法：查阅徐州中考真题、古钱币考古文献、尺规作图教学研究资料，梳理相关理论与研究成果，为课题研究提供理论支撑。</w:t>
      </w:r>
    </w:p>
    <w:p w14:paraId="10241707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2. 实地调研法：前往徐州博物馆，观察馆藏古钱币的形制、尺寸，收集相关数据与图像资料，确保古钱币数学知识挖掘的准确性。</w:t>
      </w:r>
    </w:p>
    <w:p w14:paraId="145AB9E6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3. 案例分析法：对近五年徐州中考尺规作图真题进行个案分析，总结出题规律；对典型古钱币进行个案研究，提炼数学元素。</w:t>
      </w:r>
    </w:p>
    <w:p w14:paraId="387D53AA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4. 预测法：结合出题趋势与古钱币素材，预测中考尺规作图题，结合中考评分标准完善题目与解析。</w:t>
      </w:r>
    </w:p>
    <w:p w14:paraId="66283453">
      <w:pPr>
        <w:pStyle w:val="4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（二）研究步骤</w:t>
      </w:r>
    </w:p>
    <w:p w14:paraId="6AE5323D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1. 准备阶段：确定课题研究方向，查阅相关文献、中考真题，制定研究方案；前往徐州博物馆调研，收集古钱币相关资料。</w:t>
      </w:r>
    </w:p>
    <w:p w14:paraId="0EE1B1DA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2. 实施阶段：梳理近五年徐州中考尺规作图出题趋势与流程；挖掘古钱币中的数学知识，建立与尺规作图考点的关联；设计预测题，完善题目解析与评分标准。</w:t>
      </w:r>
    </w:p>
    <w:p w14:paraId="17DE4441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3. 总结阶段：整理研究数据与成果，撰写课题研究报告，提出备考建议；修改完善研究材料，形成完整的课题成果。</w:t>
      </w:r>
    </w:p>
    <w:p w14:paraId="18678ECC">
      <w:pPr>
        <w:pStyle w:val="3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六、研究难点与创新点</w:t>
      </w:r>
    </w:p>
    <w:p w14:paraId="39B4BBFC">
      <w:pPr>
        <w:pStyle w:val="4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（一）研究难点</w:t>
      </w:r>
    </w:p>
    <w:p w14:paraId="68056AEF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1. 古钱币数学知识的精准挖掘：部分古钱币形制存在磨损、尺寸不统一，需结合考古资料与实测数据，确保数学元素提炼的准确性。</w:t>
      </w:r>
    </w:p>
    <w:p w14:paraId="14535657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2. 预测题的贴合度把控：需精准把握徐州中考尺规作图的难度梯度与命题风格，确保预测题既融入古钱币文化，又符合中考考点要求。</w:t>
      </w:r>
    </w:p>
    <w:p w14:paraId="341D0FDD">
      <w:pPr>
        <w:pStyle w:val="4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（二）研究创新点</w:t>
      </w:r>
    </w:p>
    <w:p w14:paraId="18D4B0CF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1. 视角创新：以徐州本土古钱币文化为切入点，将历史文物与中考数学尺规作图结合，打破“文化与学科脱节”的现状，实现文化传承与学科备考的融合。</w:t>
      </w:r>
    </w:p>
    <w:p w14:paraId="7ADDE71F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2. 实践创新：结合中考实际预测题型，为徐州中考复习提供具体、可操作的参考素材，具有较强的实践指导意义。</w:t>
      </w:r>
    </w:p>
    <w:p w14:paraId="1C3746C3">
      <w:pPr>
        <w:pStyle w:val="3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七、研究进度安排</w:t>
      </w:r>
    </w:p>
    <w:tbl>
      <w:tblPr>
        <w:tblStyle w:val="7"/>
        <w:tblW w:w="50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4"/>
        <w:gridCol w:w="789"/>
        <w:gridCol w:w="3577"/>
      </w:tblGrid>
      <w:tr w14:paraId="29268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  <w:tblHeader/>
        </w:trPr>
        <w:tc>
          <w:tcPr>
            <w:tcW w:w="0" w:type="auto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F2F3F5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9C9498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研究阶段</w:t>
            </w:r>
          </w:p>
        </w:tc>
        <w:tc>
          <w:tcPr>
            <w:tcW w:w="789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F2F3F5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4C2277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时间安排</w:t>
            </w:r>
          </w:p>
        </w:tc>
        <w:tc>
          <w:tcPr>
            <w:tcW w:w="3577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F2F3F5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171C10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具体任务</w:t>
            </w:r>
          </w:p>
        </w:tc>
      </w:tr>
      <w:tr w14:paraId="2CB5D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0" w:type="auto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1E66B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准备阶段</w:t>
            </w:r>
          </w:p>
        </w:tc>
        <w:tc>
          <w:tcPr>
            <w:tcW w:w="789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DE6B52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第1周</w:t>
            </w:r>
          </w:p>
        </w:tc>
        <w:tc>
          <w:tcPr>
            <w:tcW w:w="3577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8BD423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查阅文献、中考真题，制定研究方案；徐州博物馆调研，收集古钱币资料</w:t>
            </w:r>
          </w:p>
        </w:tc>
      </w:tr>
      <w:tr w14:paraId="6465A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0" w:type="auto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AC6177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实施阶段</w:t>
            </w:r>
          </w:p>
        </w:tc>
        <w:tc>
          <w:tcPr>
            <w:tcW w:w="789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D506CE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第2-3周</w:t>
            </w:r>
          </w:p>
        </w:tc>
        <w:tc>
          <w:tcPr>
            <w:tcW w:w="3577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2CBF09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梳理2021-2025年徐州中考尺规作图真题，分析出题趋势与流程</w:t>
            </w:r>
          </w:p>
        </w:tc>
      </w:tr>
      <w:tr w14:paraId="69E7A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0" w:type="auto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6A38C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实施阶段</w:t>
            </w:r>
          </w:p>
        </w:tc>
        <w:tc>
          <w:tcPr>
            <w:tcW w:w="789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98EFA8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第4周</w:t>
            </w:r>
          </w:p>
        </w:tc>
        <w:tc>
          <w:tcPr>
            <w:tcW w:w="3577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C21F06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挖掘古钱币中的数学知识，建立与尺规作图考点的关联</w:t>
            </w:r>
          </w:p>
        </w:tc>
      </w:tr>
      <w:tr w14:paraId="3CB98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0" w:type="auto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464E5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实施阶段</w:t>
            </w:r>
          </w:p>
        </w:tc>
        <w:tc>
          <w:tcPr>
            <w:tcW w:w="789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944464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第5-6周</w:t>
            </w:r>
          </w:p>
        </w:tc>
        <w:tc>
          <w:tcPr>
            <w:tcW w:w="3577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8A8196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设计预测题，完善题目解析与评分标准</w:t>
            </w:r>
          </w:p>
        </w:tc>
      </w:tr>
      <w:tr w14:paraId="3F857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0" w:type="auto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717F64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总结阶段</w:t>
            </w:r>
          </w:p>
        </w:tc>
        <w:tc>
          <w:tcPr>
            <w:tcW w:w="789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C754C3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第7周</w:t>
            </w:r>
          </w:p>
        </w:tc>
        <w:tc>
          <w:tcPr>
            <w:tcW w:w="3577" w:type="dxa"/>
            <w:tcBorders>
              <w:top w:val="single" w:color="DEE0E3" w:sz="4" w:space="0"/>
              <w:left w:val="single" w:color="DEE0E3" w:sz="4" w:space="0"/>
              <w:bottom w:val="single" w:color="DEE0E3" w:sz="4" w:space="0"/>
              <w:right w:val="single" w:color="DEE0E3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9DDD5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撰写研究报告，提出备考建议；修改完善研究材料，形成成果</w:t>
            </w:r>
          </w:p>
        </w:tc>
      </w:tr>
    </w:tbl>
    <w:p w14:paraId="37D5EC31">
      <w:pPr>
        <w:pStyle w:val="3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八、预期成果</w:t>
      </w:r>
    </w:p>
    <w:p w14:paraId="0D7EA4E5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1. 课题开题报告1份；</w:t>
      </w:r>
    </w:p>
    <w:p w14:paraId="48B37FD7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2. 课题研究过程材料1份（含调研记录、真题分析报告、古钱币数学知识挖掘笔记等）；</w:t>
      </w:r>
    </w:p>
    <w:p w14:paraId="01F161BB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3. 课题结题报告1份；</w:t>
      </w:r>
    </w:p>
    <w:p w14:paraId="7B2D527B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4. 贴合中考难度的古钱币相关尺规作图预测题1道（含解析与评分标准）。</w:t>
      </w:r>
    </w:p>
    <w:p w14:paraId="31BE1730">
      <w:p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                                            </w:t>
      </w:r>
    </w:p>
    <w:p w14:paraId="53913B8F">
      <w:pPr>
        <w:rPr>
          <w:rFonts w:hint="eastAsia" w:ascii="楷体" w:hAnsi="楷体" w:eastAsia="楷体" w:cs="楷体"/>
          <w:sz w:val="24"/>
          <w:szCs w:val="24"/>
          <w:lang w:val="en-US" w:eastAsia="zh-CN"/>
        </w:rPr>
      </w:pPr>
    </w:p>
    <w:p w14:paraId="73149DA3">
      <w:pPr>
        <w:rPr>
          <w:rFonts w:hint="eastAsia" w:ascii="楷体" w:hAnsi="楷体" w:eastAsia="楷体" w:cs="楷体"/>
          <w:sz w:val="24"/>
          <w:szCs w:val="24"/>
          <w:lang w:val="en-US" w:eastAsia="zh-CN"/>
        </w:rPr>
      </w:pPr>
    </w:p>
    <w:p w14:paraId="56B36AD4">
      <w:pPr>
        <w:ind w:firstLine="6720" w:firstLineChars="2800"/>
        <w:rPr>
          <w:rFonts w:hint="default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2026年2月    </w:t>
      </w:r>
      <w:r>
        <w:rPr>
          <w:rFonts w:hint="eastAsia" w:ascii="楷体" w:hAnsi="楷体" w:eastAsia="楷体" w:cs="楷体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2B392F"/>
    <w:rsid w:val="35A1575D"/>
    <w:rsid w:val="3825492F"/>
    <w:rsid w:val="4E1A18BE"/>
    <w:rsid w:val="53634921"/>
    <w:rsid w:val="772F0A64"/>
    <w:rsid w:val="7D17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2504</Words>
  <Characters>2553</Characters>
  <Lines>0</Lines>
  <Paragraphs>0</Paragraphs>
  <TotalTime>0</TotalTime>
  <ScaleCrop>false</ScaleCrop>
  <LinksUpToDate>false</LinksUpToDate>
  <CharactersWithSpaces>2741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2026-03-07T07:14:00Z</dcterms:created>
  <dc:creator>dell</dc:creator>
  <cp:lastModifiedBy>朱</cp:lastModifiedBy>
  <dcterms:modified xsi:type="dcterms:W3CDTF">2026-03-10T07:13:08Z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eyJoZGlkIjoiY2MzYWFhMTc3N2ExMmNkMGE2ZDJjODg0ZjQwZGEyYWIiLCJ1c2VySWQiOiIyMjgxODY5MDIifQ==</vt:lpwstr>
  </property>
  <property fmtid="{D5CDD505-2E9C-101B-9397-08002B2CF9AE}" pid="4" name="ICV">
    <vt:lpwstr>F20D8703B8F146B9BB6C80F1F6732A37_12</vt:lpwstr>
  </property>
</Properties>
</file>