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9DE2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60" w:line="360" w:lineRule="auto"/>
        <w:jc w:val="center"/>
        <w:textAlignment w:val="auto"/>
        <w:rPr>
          <w:rFonts w:hint="eastAsia" w:ascii="黑体" w:hAnsi="黑体" w:eastAsia="黑体" w:cs="黑体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徐州博物馆中的古钱币数学研究</w:t>
      </w:r>
    </w:p>
    <w:p w14:paraId="4733C9E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60" w:line="360" w:lineRule="auto"/>
        <w:jc w:val="center"/>
        <w:textAlignment w:val="auto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开题报告</w:t>
      </w:r>
    </w:p>
    <w:p w14:paraId="241BD753">
      <w:pPr>
        <w:rPr>
          <w:rFonts w:hint="eastAsia" w:ascii="黑体" w:hAnsi="黑体" w:eastAsia="黑体" w:cs="黑体"/>
          <w:sz w:val="52"/>
          <w:szCs w:val="52"/>
          <w:lang w:val="en-US" w:eastAsia="zh-CN"/>
        </w:rPr>
      </w:pPr>
    </w:p>
    <w:p w14:paraId="2436FB2A">
      <w:pPr>
        <w:rPr>
          <w:rFonts w:hint="eastAsia" w:ascii="黑体" w:hAnsi="黑体" w:eastAsia="黑体" w:cs="黑体"/>
          <w:sz w:val="52"/>
          <w:szCs w:val="52"/>
          <w:lang w:val="en-US" w:eastAsia="zh-CN"/>
        </w:rPr>
      </w:pPr>
    </w:p>
    <w:p w14:paraId="5C1AC525">
      <w:pPr>
        <w:rPr>
          <w:rFonts w:hint="default" w:ascii="黑体" w:hAnsi="黑体" w:eastAsia="黑体" w:cs="黑体"/>
          <w:sz w:val="52"/>
          <w:szCs w:val="52"/>
          <w:lang w:val="en-US" w:eastAsia="zh-CN"/>
        </w:rPr>
      </w:pPr>
    </w:p>
    <w:p w14:paraId="17A628B0">
      <w:pPr>
        <w:spacing w:line="480" w:lineRule="auto"/>
        <w:jc w:val="center"/>
        <w:rPr>
          <w:rFonts w:hint="default" w:ascii="Times New Roman" w:hAnsi="Times New Roman" w:cs="Times New Roman" w:eastAsiaTheme="minorEastAsia"/>
          <w:bCs/>
          <w:sz w:val="30"/>
          <w:szCs w:val="30"/>
        </w:rPr>
      </w:pPr>
    </w:p>
    <w:p w14:paraId="1B043049">
      <w:pPr>
        <w:spacing w:line="480" w:lineRule="auto"/>
        <w:jc w:val="center"/>
        <w:rPr>
          <w:rFonts w:hint="eastAsia" w:asciiTheme="minorEastAsia" w:hAnsiTheme="minorEastAsia" w:eastAsiaTheme="minorEastAsia" w:cstheme="minorEastAsia"/>
          <w:bCs/>
          <w:sz w:val="30"/>
          <w:szCs w:val="30"/>
        </w:rPr>
      </w:pPr>
    </w:p>
    <w:p w14:paraId="63F9DC3D">
      <w:pPr>
        <w:spacing w:line="480" w:lineRule="auto"/>
        <w:jc w:val="both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cstheme="minorEastAsia"/>
          <w:bCs/>
          <w:sz w:val="30"/>
          <w:szCs w:val="30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学    校：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  <w:lang w:val="en-US" w:eastAsia="zh-CN"/>
        </w:rPr>
        <w:t xml:space="preserve">  中国矿业大学附属中学   </w:t>
      </w:r>
    </w:p>
    <w:p w14:paraId="53DC9086">
      <w:pPr>
        <w:spacing w:line="480" w:lineRule="auto"/>
        <w:ind w:firstLine="2100" w:firstLineChars="700"/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班    级：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</w:rPr>
        <w:t xml:space="preserve">    </w:t>
      </w:r>
      <w:r>
        <w:rPr>
          <w:rFonts w:hint="eastAsia" w:asciiTheme="minorEastAsia" w:hAnsiTheme="minorEastAsia" w:cstheme="minorEastAsia"/>
          <w:bCs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  <w:lang w:val="en-US" w:eastAsia="zh-CN"/>
        </w:rPr>
        <w:t xml:space="preserve">初三（2）班             </w:t>
      </w:r>
    </w:p>
    <w:p w14:paraId="497121F8">
      <w:pPr>
        <w:spacing w:line="480" w:lineRule="auto"/>
        <w:ind w:firstLine="2100" w:firstLineChars="700"/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</w:rPr>
        <w:t>主 持 人：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</w:rPr>
        <w:t>陈乐轩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u w:val="single"/>
        </w:rPr>
        <w:t xml:space="preserve">   </w:t>
      </w:r>
    </w:p>
    <w:p w14:paraId="13F0216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30"/>
          <w:szCs w:val="30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指导老师：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u w:val="single"/>
          <w:lang w:val="en-US" w:eastAsia="zh-CN"/>
        </w:rPr>
        <w:t xml:space="preserve">         张欣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single"/>
        </w:rPr>
        <w:t xml:space="preserve">  </w:t>
      </w:r>
    </w:p>
    <w:p w14:paraId="64A6D2F8">
      <w:pPr>
        <w:pStyle w:val="3"/>
        <w:rPr>
          <w:rFonts w:hint="eastAsia" w:asciiTheme="minorEastAsia" w:hAnsiTheme="minorEastAsia" w:eastAsiaTheme="minorEastAsia" w:cstheme="minorEastAsia"/>
        </w:rPr>
      </w:pPr>
    </w:p>
    <w:p w14:paraId="5DE35007">
      <w:pPr>
        <w:pStyle w:val="3"/>
        <w:rPr>
          <w:rFonts w:hint="eastAsia" w:asciiTheme="minorEastAsia" w:hAnsiTheme="minorEastAsia" w:eastAsiaTheme="minorEastAsia" w:cstheme="minorEastAsia"/>
        </w:rPr>
      </w:pPr>
    </w:p>
    <w:p w14:paraId="5197A34E">
      <w:pPr>
        <w:pStyle w:val="3"/>
        <w:rPr>
          <w:rFonts w:hint="eastAsia" w:asciiTheme="minorEastAsia" w:hAnsiTheme="minorEastAsia" w:eastAsiaTheme="minorEastAsia" w:cstheme="minorEastAsia"/>
        </w:rPr>
      </w:pPr>
    </w:p>
    <w:p w14:paraId="3DD6498C">
      <w:pPr>
        <w:pStyle w:val="3"/>
        <w:rPr>
          <w:rFonts w:hint="eastAsia" w:asciiTheme="minorEastAsia" w:hAnsiTheme="minorEastAsia" w:eastAsiaTheme="minorEastAsia" w:cstheme="minorEastAsia"/>
        </w:rPr>
      </w:pPr>
    </w:p>
    <w:p w14:paraId="7F89ABCD">
      <w:pPr>
        <w:pStyle w:val="3"/>
        <w:rPr>
          <w:rFonts w:hint="eastAsia" w:asciiTheme="minorEastAsia" w:hAnsiTheme="minorEastAsia" w:eastAsiaTheme="minorEastAsia" w:cstheme="minorEastAsia"/>
        </w:rPr>
      </w:pPr>
    </w:p>
    <w:p w14:paraId="282ABC14"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一、课题名称</w:t>
      </w:r>
    </w:p>
    <w:p w14:paraId="4DFEC04E">
      <w:pPr>
        <w:pStyle w:val="16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徐州博物馆中的古钱币数学研究</w:t>
      </w:r>
    </w:p>
    <w:p w14:paraId="768384A6"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二、研究背景</w:t>
      </w:r>
    </w:p>
    <w:p w14:paraId="2B6A39D8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《义务教育数学课程标准（2022 年版）》倡导跨学科融合与传统文化育人，徐州博物馆馆藏西汉半两钱、北宋钱币等体系完整，其形制、工艺蕴含丰富数学原理，是连接传统文化与初中数学的优质载体。2022-2024 年徐州中考数学 “文化情境题” 占比升至 12%，古钱币相关试题频发，但当前教学中二者融合零散，缺乏系统资源，本课题构建 “古钱币文化 — 初中数学 — 中考命题” 融合体系，针对性解决教学与备考需求。</w:t>
      </w:r>
    </w:p>
    <w:p w14:paraId="660A4866"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三、研究意义</w:t>
      </w:r>
    </w:p>
    <w:p w14:paraId="44245170">
      <w:pPr>
        <w:pStyle w:val="16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文化育人价值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：挖掘古钱币 “天圆地方” 哲学与铸造工艺中的数学智慧，增强文化自信。</w:t>
      </w:r>
    </w:p>
    <w:p w14:paraId="2F87632D">
      <w:pPr>
        <w:pStyle w:val="16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数学教育价值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：将抽象数学知识与文物实物结合，通过 “观察 — 测量 — 建模 — 应用” 流程提升核心素养。</w:t>
      </w:r>
    </w:p>
    <w:p w14:paraId="4EAE34DB">
      <w:pPr>
        <w:pStyle w:val="16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课程资源价值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：形成完整资源包，丰富校本课程，推动馆校合作。</w:t>
      </w:r>
    </w:p>
    <w:p w14:paraId="0B3039A2">
      <w:pPr>
        <w:pStyle w:val="16"/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中考备考价值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：设计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道适配题型（基础题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道、综合题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道），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包含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核心考点，贴合中考真题风格。</w:t>
      </w:r>
    </w:p>
    <w:p w14:paraId="6EF9A2EE"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四、研究目标</w:t>
      </w:r>
    </w:p>
    <w:p w14:paraId="1B572243">
      <w:pPr>
        <w:pStyle w:val="16"/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开发 3 类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个数学模型，实现古钱币特征与初中数学知识精准映射；</w:t>
      </w:r>
    </w:p>
    <w:p w14:paraId="3B82DC2C">
      <w:pPr>
        <w:pStyle w:val="16"/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转化为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道中考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较简单的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适配题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实现成果转化；</w:t>
      </w:r>
    </w:p>
    <w:p w14:paraId="71527D44">
      <w:pPr>
        <w:pStyle w:val="16"/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设计 2 个单人可操作探究实验，培养探究能力；</w:t>
      </w:r>
    </w:p>
    <w:p w14:paraId="7CC3B6FF">
      <w:pPr>
        <w:pStyle w:val="16"/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输出文献综述、模型、题型、实验等成果，提供实践范式。</w:t>
      </w:r>
    </w:p>
    <w:p w14:paraId="1706F051">
      <w:pPr>
        <w:pStyle w:val="4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五、研究内容</w:t>
      </w:r>
    </w:p>
    <w:p w14:paraId="0AA0F098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本课题选取徐州博物馆 13 枚核心古钱币（西汉半两钱 7 枚、北宋钱币 6 枚）为研究对象，聚焦以下核心内容：</w:t>
      </w:r>
    </w:p>
    <w:p w14:paraId="52390DA5">
      <w:pPr>
        <w:pStyle w:val="5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数与代数类问题研究</w:t>
      </w:r>
    </w:p>
    <w:p w14:paraId="394438FC">
      <w:pPr>
        <w:pStyle w:val="16"/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铸币收缩率与一次函数模型：基于宋代母钱（S-016）与 3 枚子钱（S-015、S-017、S-018）的直径测量数据，计算翻砂铸造的收缩率，构建母钱与子钱直径的一次函数关系，探究函数思想在铸造工艺中的应用。</w:t>
      </w:r>
    </w:p>
    <w:p w14:paraId="5DE80E6F">
      <w:pPr>
        <w:pStyle w:val="16"/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钱币数量与重量的方程不等式模型：结合北洞山楚王墓出土半两钱的总数（52640 枚）与总重量（207kg），设定新币（≥5g）与旧币（的变量，建立方程组与不等式，求解新币与旧币的数量范围，体会方程与不等式的实际应用价值。</w:t>
      </w:r>
    </w:p>
    <w:p w14:paraId="50A950F5">
      <w:pPr>
        <w:pStyle w:val="5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图形与几何类问题研究</w:t>
      </w:r>
    </w:p>
    <w:p w14:paraId="50E381E0">
      <w:pPr>
        <w:pStyle w:val="16"/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圆内接正方形模型：以北宋熙宁重宝（S-009）为对象，分析 “外圆内方” 形制的几何特征，计算方孔顶点到圆心的距离，推导方孔边长与外圆半径的比例关系，解读 “天圆地方” 的数学表达。</w:t>
      </w:r>
    </w:p>
    <w:p w14:paraId="32A75880">
      <w:pPr>
        <w:pStyle w:val="16"/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钱币相似模型：选取两枚不同尺寸的同类型钱币（S-009 与 S-011），测量直径、方孔边长等关键数据，判定图形相似性，应用相似性质计算重量比，体会相似思想在文物研究中的应用。</w:t>
      </w:r>
    </w:p>
    <w:p w14:paraId="6CE82882">
      <w:pPr>
        <w:pStyle w:val="5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统计概率类问题研究</w:t>
      </w:r>
    </w:p>
    <w:p w14:paraId="76000B69">
      <w:pPr>
        <w:pStyle w:val="16"/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钱币抽取的组合概率模型：设计两类概率问题（从 4 类钱币中抽取 2 枚），计算特定事件的概率，掌握组合与排列的计算方法，体会古典概型的应用场景。</w:t>
      </w:r>
    </w:p>
    <w:p w14:paraId="660D7D71">
      <w:pPr>
        <w:pStyle w:val="16"/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官铸与私铸钱币的方差分析模型：对比 5 枚官铸半两钱与私铸钱币的重量数据，计算方差，分析重量波动差异，理解方差与数据稳定性的关系，体会统计分析在工艺评价中的作用。</w:t>
      </w:r>
    </w:p>
    <w:p w14:paraId="7D806584">
      <w:pPr>
        <w:pStyle w:val="5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. 中考题型设计与探究实验开发</w:t>
      </w:r>
    </w:p>
    <w:p w14:paraId="701530F7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将上述研究内容转化为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道中考适配题型，开发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个探究实验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为教学应用提供支撑。</w:t>
      </w:r>
    </w:p>
    <w:p w14:paraId="4F657B25">
      <w:pPr>
        <w:pStyle w:val="4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六、研究方法</w:t>
      </w:r>
    </w:p>
    <w:p w14:paraId="7EE563AB">
      <w:pPr>
        <w:pStyle w:val="5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文献研究法</w:t>
      </w:r>
    </w:p>
    <w:p w14:paraId="36B09AA0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系统查阅徐州博物馆馆藏资料（《北洞山楚王墓考古报告》）、学术文献（《秦汉钱币研究》《宋代铸钱工艺研究》）、中考资料（2022-2024 年徐州中考数学真题及解析），获取古钱币的历史背景、形制规范、铸造工艺等数据，为研究提供理论支撑与数据基础。</w:t>
      </w:r>
    </w:p>
    <w:p w14:paraId="4520B776">
      <w:pPr>
        <w:pStyle w:val="5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数字测量法</w:t>
      </w:r>
    </w:p>
    <w:p w14:paraId="7C0BCDEF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运用 ImageJ 图像分析软件（版本 1.54f）对古钱币高清数字影像进行毫米级精度测量，每项指标（外圆直径、方孔边长、厚度等）重复测量 3 次取平均值，确保数据准确性；借助 AutoCAD 2024 软件进行几何建模与尺寸校准，实现文物无损测量，避免对实物造成损害。</w:t>
      </w:r>
    </w:p>
    <w:p w14:paraId="7C869FC9">
      <w:pPr>
        <w:pStyle w:val="5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数学建模法</w:t>
      </w:r>
    </w:p>
    <w:p w14:paraId="61EA4055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基于实测数据与文献资料，构建一次函数、动态几何、统计分析等数学模型，通过数据验证模型的合理性与有效性，运用数学语言描述古钱币的特征与规律，实现文化现象与数学知识的深度融合。</w:t>
      </w:r>
    </w:p>
    <w:p w14:paraId="5388CFCC">
      <w:pPr>
        <w:pStyle w:val="5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中考对接法</w:t>
      </w:r>
    </w:p>
    <w:p w14:paraId="56E18AA5">
      <w:pPr>
        <w:pStyle w:val="1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统计 2022-2024 年徐州中考数学考点分布、题型结构与命题风格，明确核心考点与命题趋势，确保题型设计、难度梯度与中考要求高度契合，提升研究成果的备考实用性。</w:t>
      </w:r>
    </w:p>
    <w:p w14:paraId="3299F1AD"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七、研究计划与进度安排</w:t>
      </w:r>
    </w:p>
    <w:p w14:paraId="4993673B">
      <w:pPr>
        <w:pStyle w:val="16"/>
        <w:rPr>
          <w:rFonts w:hint="eastAsia" w:asciiTheme="minorEastAsia" w:hAnsiTheme="minorEastAsia" w:eastAsiaTheme="minorEastAsia" w:cstheme="minorEastAsia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3351"/>
      </w:tblGrid>
      <w:tr w14:paraId="712E6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2899A3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研究阶段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88BC08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时间节点（2026 年）</w:t>
            </w:r>
          </w:p>
        </w:tc>
        <w:tc>
          <w:tcPr>
            <w:tcW w:w="3351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8BA1D6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核心任务</w:t>
            </w:r>
          </w:p>
        </w:tc>
      </w:tr>
      <w:tr w14:paraId="2B8D3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C7FB81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准备阶段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DC13A8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 月 9 日 —2 月 11 日</w:t>
            </w:r>
          </w:p>
        </w:tc>
        <w:tc>
          <w:tcPr>
            <w:tcW w:w="3351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AA024A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文献调研；筛选展品；筹备软件设备；设计数据记录表与测量方案</w:t>
            </w:r>
          </w:p>
        </w:tc>
      </w:tr>
      <w:tr w14:paraId="505FA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B2989D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数字测量阶段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A7DD10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 月 12 日 —2 月 15 日</w:t>
            </w:r>
            <w:bookmarkStart w:id="0" w:name="_GoBack"/>
            <w:bookmarkEnd w:id="0"/>
          </w:p>
        </w:tc>
        <w:tc>
          <w:tcPr>
            <w:tcW w:w="3351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B6211F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获取影像与三维模型；标准化测量；数据整理备份</w:t>
            </w:r>
          </w:p>
        </w:tc>
      </w:tr>
      <w:tr w14:paraId="63BA8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D86414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数据建模阶段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D31522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 月 16 日 —2 月 24 日</w:t>
            </w:r>
          </w:p>
        </w:tc>
        <w:tc>
          <w:tcPr>
            <w:tcW w:w="3351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25B603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开展三类问题研究；构建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个数学模型并验证</w:t>
            </w:r>
          </w:p>
        </w:tc>
      </w:tr>
      <w:tr w14:paraId="40AD5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DEDB15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中考适配阶段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B083A6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 月 25 日 —2 月 28 日</w:t>
            </w:r>
          </w:p>
        </w:tc>
        <w:tc>
          <w:tcPr>
            <w:tcW w:w="3351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30844C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设计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道适配题型；开发 2 个探究实验</w:t>
            </w:r>
          </w:p>
        </w:tc>
      </w:tr>
      <w:tr w14:paraId="0609C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DB39DF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结题阶段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6C64DC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 月 29 日 —3 月 2 日</w:t>
            </w:r>
          </w:p>
        </w:tc>
        <w:tc>
          <w:tcPr>
            <w:tcW w:w="3351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D2C1D0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撰写报告；汇总成果；制作课件存档</w:t>
            </w:r>
          </w:p>
        </w:tc>
      </w:tr>
    </w:tbl>
    <w:p w14:paraId="4BB403BB"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八、预期成果与应用价值</w:t>
      </w:r>
    </w:p>
    <w:p w14:paraId="66C9B481">
      <w:pPr>
        <w:pStyle w:val="4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（一）预期成果</w:t>
      </w:r>
    </w:p>
    <w:p w14:paraId="0E4151E9">
      <w:pPr>
        <w:pStyle w:val="16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多个研究报告系统梳理古钱币与数学融合的完整路径，涵盖文献查阅、数据测量、模型构建等全流程。</w:t>
      </w:r>
    </w:p>
    <w:p w14:paraId="6D368C94">
      <w:pPr>
        <w:pStyle w:val="16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 类 5 个数学模型经多轮数据验证，反映铸币工艺、形制特征与数学知识的内在关联。</w:t>
      </w:r>
    </w:p>
    <w:p w14:paraId="39ABE1D2">
      <w:pPr>
        <w:pStyle w:val="16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 道中考适配题型对标真题风格，覆盖核心考点且层次分明。</w:t>
      </w:r>
    </w:p>
    <w:p w14:paraId="477F847C">
      <w:pPr>
        <w:pStyle w:val="16"/>
        <w:numPr>
          <w:ilvl w:val="0"/>
          <w:numId w:val="4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 个探究实验步骤清晰、器材易得，可直接用于课堂实践。应用价值涵盖教学、备考、文化传播与学术研究。</w:t>
      </w:r>
    </w:p>
    <w:p w14:paraId="1A6AB269">
      <w:pPr>
        <w:pStyle w:val="4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（二）应用价值</w:t>
      </w:r>
    </w:p>
    <w:p w14:paraId="77B712B1">
      <w:pPr>
        <w:pStyle w:val="16"/>
        <w:numPr>
          <w:ilvl w:val="0"/>
          <w:numId w:val="5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教学应用：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为初中数学提供鲜活文化情境，解决抽象知识教学难题；</w:t>
      </w:r>
    </w:p>
    <w:p w14:paraId="0E0751CC">
      <w:pPr>
        <w:pStyle w:val="16"/>
        <w:numPr>
          <w:ilvl w:val="0"/>
          <w:numId w:val="5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备考应用：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针对性提升学生文化情境题解题能力，助力中考高效备考；</w:t>
      </w:r>
    </w:p>
    <w:p w14:paraId="1BDC1000">
      <w:pPr>
        <w:pStyle w:val="16"/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文化应用：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以古钱币为载体推动传统文化传播，增强学生文化自信。</w:t>
      </w:r>
    </w:p>
    <w:p w14:paraId="2BEBCF31">
      <w:pPr>
        <w:pStyle w:val="16"/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研究应用：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为跨学科融合教学提供可复制、可推广的案例，丰富校本课程开发思路。</w:t>
      </w:r>
    </w:p>
    <w:p w14:paraId="6F2A97C9">
      <w:pPr>
        <w:pStyle w:val="16"/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</w:rPr>
      </w:pPr>
    </w:p>
    <w:p w14:paraId="79068F52">
      <w:pPr>
        <w:pStyle w:val="3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九、可行性分析</w:t>
      </w:r>
    </w:p>
    <w:p w14:paraId="35B24F12">
      <w:pPr>
        <w:pStyle w:val="16"/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本课题具备充分的实施条件与保障：</w:t>
      </w:r>
    </w:p>
    <w:p w14:paraId="2B7D9258">
      <w:pPr>
        <w:pStyle w:val="16"/>
        <w:numPr>
          <w:ilvl w:val="0"/>
          <w:numId w:val="7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数据层面，徐州博物馆提供权威馆藏资料、高清数字影像及考古实测数据，结合大量学术文献与中考真题，形成坚实数据支撑；</w:t>
      </w:r>
    </w:p>
    <w:p w14:paraId="36F9D0B1">
      <w:pPr>
        <w:pStyle w:val="16"/>
        <w:numPr>
          <w:ilvl w:val="0"/>
          <w:numId w:val="7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技术层面，ImageJ、AutoCAD 等软件操作简洁，相关教程资源丰富，初中阶段师生经短期学习即可熟练运用，设备易通过学校实验室或个人电脑获取；</w:t>
      </w:r>
    </w:p>
    <w:p w14:paraId="19651E64">
      <w:pPr>
        <w:pStyle w:val="16"/>
        <w:numPr>
          <w:ilvl w:val="0"/>
          <w:numId w:val="7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实践层面，初三（2）班师生可全程参与题型测试与实验验证，及时反馈适配性问题并优化调整；</w:t>
      </w:r>
    </w:p>
    <w:p w14:paraId="77F73148">
      <w:pPr>
        <w:pStyle w:val="16"/>
        <w:numPr>
          <w:ilvl w:val="0"/>
          <w:numId w:val="7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个人能力层面，主持人具备扎实的文献调研、数据处理、数学建模能力，且在指导老师引领下，能够独立完成从研究设计到成果输出的全流程工作，确保研究有效推进。</w:t>
      </w: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4080F4"/>
    <w:multiLevelType w:val="multilevel"/>
    <w:tmpl w:val="CB4080F4"/>
    <w:lvl w:ilvl="0" w:tentative="0">
      <w:start w:val="1"/>
      <w:numFmt w:val="decimal"/>
      <w:lvlText w:val="%1.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decimal"/>
      <w:lvlText w:val="%4.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lowerLetter"/>
      <w:lvlText w:val="%5.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lowerRoman"/>
      <w:lvlText w:val="%6.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decimal"/>
      <w:lvlText w:val="%7.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lowerLetter"/>
      <w:lvlText w:val="%8.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lowerRoman"/>
      <w:lvlText w:val="%9."/>
      <w:lvlJc w:val="left"/>
      <w:pPr>
        <w:ind w:left="3744" w:hanging="288"/>
      </w:pPr>
      <w:rPr>
        <w:color w:val="3370FF"/>
        <w:sz w:val="22"/>
        <w:szCs w:val="22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decimal"/>
      <w:lvlText w:val="%4.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lowerLetter"/>
      <w:lvlText w:val="%5.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lowerRoman"/>
      <w:lvlText w:val="%6.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decimal"/>
      <w:lvlText w:val="%7.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lowerLetter"/>
      <w:lvlText w:val="%8.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lowerRoman"/>
      <w:lvlText w:val="%9."/>
      <w:lvlJc w:val="left"/>
      <w:pPr>
        <w:ind w:left="3744" w:hanging="288"/>
      </w:pPr>
      <w:rPr>
        <w:color w:val="3370FF"/>
        <w:sz w:val="22"/>
        <w:szCs w:val="22"/>
      </w:rPr>
    </w:lvl>
  </w:abstractNum>
  <w:abstractNum w:abstractNumId="2">
    <w:nsid w:val="59ADCABA"/>
    <w:multiLevelType w:val="multilevel"/>
    <w:tmpl w:val="59ADCABA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bullet"/>
      <w:lvlText w:val="•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bullet"/>
      <w:lvlText w:val="◦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bullet"/>
      <w:lvlText w:val="▪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bullet"/>
      <w:lvlText w:val="•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bullet"/>
      <w:lvlText w:val="◦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bullet"/>
      <w:lvlText w:val="▪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compatSetting w:name="compatibilityMode" w:uri="http://schemas.microsoft.com/office/word" w:val="15"/>
  </w:compat>
  <w:rsids>
    <w:rsidRoot w:val="00000000"/>
    <w:rsid w:val="107E484D"/>
    <w:rsid w:val="29CD2489"/>
    <w:rsid w:val="36CC5A63"/>
    <w:rsid w:val="50917BAD"/>
    <w:rsid w:val="52326C6A"/>
    <w:rsid w:val="5D8C7CB6"/>
    <w:rsid w:val="5DD72D89"/>
    <w:rsid w:val="5F0E0117"/>
    <w:rsid w:val="7CC7607D"/>
    <w:rsid w:val="7E644D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2097</Words>
  <Characters>2231</Characters>
  <TotalTime>7</TotalTime>
  <ScaleCrop>false</ScaleCrop>
  <LinksUpToDate>false</LinksUpToDate>
  <CharactersWithSpaces>2351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2026-03-02T11:17:00Z</dcterms:created>
  <dc:creator>Un-named</dc:creator>
  <cp:lastModifiedBy>马娟</cp:lastModifiedBy>
  <dcterms:modified xsi:type="dcterms:W3CDTF">2026-03-03T07:55:50Z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eyJoZGlkIjoiYmQzYzExMzIwNDgwYjU0MDZmMmY3OWI2YTNiZWQ4OWQiLCJ1c2VySWQiOiIxNjIyNzYwMTY2In0=</vt:lpwstr>
  </property>
  <property fmtid="{D5CDD505-2E9C-101B-9397-08002B2CF9AE}" pid="3" name="KSOProductBuildVer">
    <vt:lpwstr>2052-12.1.0.23542</vt:lpwstr>
  </property>
  <property fmtid="{D5CDD505-2E9C-101B-9397-08002B2CF9AE}" pid="4" name="ICV">
    <vt:lpwstr>7A2CDB42226746AAAFF34FA828A5F6BA_12</vt:lpwstr>
  </property>
</Properties>
</file>