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FE" w:rsidRDefault="00A83DFE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44"/>
        </w:rPr>
      </w:pPr>
      <w:bookmarkStart w:id="0" w:name="_Toc72359415"/>
      <w:bookmarkStart w:id="1" w:name="_Toc514773494"/>
      <w:bookmarkStart w:id="2" w:name="_Toc479087636"/>
      <w:bookmarkStart w:id="3" w:name="_Toc482779425"/>
      <w:bookmarkStart w:id="4" w:name="_Toc72346643"/>
    </w:p>
    <w:p w:rsidR="00A83DFE" w:rsidRDefault="00A83DFE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44"/>
        </w:rPr>
      </w:pPr>
    </w:p>
    <w:p w:rsidR="00A83DFE" w:rsidRDefault="00A83DFE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44"/>
        </w:rPr>
      </w:pPr>
    </w:p>
    <w:p w:rsidR="00A83DFE" w:rsidRDefault="0000699F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44"/>
        </w:rPr>
      </w:pPr>
      <w:r>
        <w:rPr>
          <w:rFonts w:ascii="Times New Roman" w:eastAsia="黑体" w:hAnsi="Times New Roman" w:cs="Times New Roman"/>
          <w:color w:val="000000" w:themeColor="text1"/>
          <w:sz w:val="44"/>
        </w:rPr>
        <w:t>PISA</w:t>
      </w:r>
      <w:r>
        <w:rPr>
          <w:rFonts w:eastAsia="黑体" w:hint="eastAsia"/>
          <w:color w:val="000000" w:themeColor="text1"/>
          <w:sz w:val="44"/>
        </w:rPr>
        <w:t>数学素养与测试框架研究</w:t>
      </w:r>
    </w:p>
    <w:p w:rsidR="00A83DFE" w:rsidRDefault="00A83DFE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44"/>
        </w:rPr>
      </w:pPr>
    </w:p>
    <w:p w:rsidR="00A83DFE" w:rsidRDefault="00A83DFE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44"/>
        </w:rPr>
      </w:pPr>
    </w:p>
    <w:p w:rsidR="00A83DFE" w:rsidRDefault="00A83DFE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44"/>
        </w:rPr>
      </w:pPr>
    </w:p>
    <w:p w:rsidR="00A83DFE" w:rsidRDefault="00A83DFE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44"/>
        </w:rPr>
      </w:pPr>
    </w:p>
    <w:p w:rsidR="007C2BEE" w:rsidRPr="00A83DFE" w:rsidRDefault="0000699F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72"/>
          <w:szCs w:val="72"/>
        </w:rPr>
      </w:pPr>
      <w:r w:rsidRPr="00A83DFE">
        <w:rPr>
          <w:rFonts w:eastAsia="黑体" w:hint="eastAsia"/>
          <w:color w:val="000000" w:themeColor="text1"/>
          <w:sz w:val="72"/>
          <w:szCs w:val="72"/>
        </w:rPr>
        <w:t>开题报告</w:t>
      </w:r>
    </w:p>
    <w:p w:rsidR="007C2BEE" w:rsidRDefault="007C2BEE">
      <w:pPr>
        <w:adjustRightInd w:val="0"/>
        <w:snapToGrid w:val="0"/>
        <w:spacing w:beforeLines="50" w:before="156" w:afterLines="50" w:after="156"/>
        <w:jc w:val="center"/>
        <w:outlineLvl w:val="1"/>
        <w:rPr>
          <w:rFonts w:eastAsia="黑体"/>
          <w:color w:val="000000" w:themeColor="text1"/>
          <w:sz w:val="44"/>
        </w:rPr>
      </w:pPr>
    </w:p>
    <w:p w:rsidR="007C2BEE" w:rsidRDefault="007C2BEE">
      <w:pPr>
        <w:adjustRightInd w:val="0"/>
        <w:snapToGrid w:val="0"/>
        <w:spacing w:beforeLines="50" w:before="156" w:afterLines="50" w:after="156" w:line="480" w:lineRule="auto"/>
        <w:jc w:val="left"/>
        <w:outlineLvl w:val="1"/>
        <w:rPr>
          <w:rFonts w:eastAsia="黑体"/>
          <w:color w:val="000000" w:themeColor="text1"/>
          <w:sz w:val="30"/>
          <w:szCs w:val="30"/>
        </w:rPr>
      </w:pPr>
    </w:p>
    <w:p w:rsidR="007C2BEE" w:rsidRDefault="0000699F">
      <w:pPr>
        <w:adjustRightInd w:val="0"/>
        <w:snapToGrid w:val="0"/>
        <w:spacing w:beforeLines="50" w:before="156" w:afterLines="50" w:after="156" w:line="840" w:lineRule="auto"/>
        <w:ind w:firstLineChars="750" w:firstLine="2250"/>
        <w:jc w:val="left"/>
        <w:outlineLvl w:val="1"/>
        <w:rPr>
          <w:rFonts w:eastAsia="黑体"/>
          <w:color w:val="000000" w:themeColor="text1"/>
          <w:sz w:val="30"/>
          <w:szCs w:val="30"/>
        </w:rPr>
      </w:pPr>
      <w:r>
        <w:rPr>
          <w:rFonts w:eastAsia="黑体" w:hint="eastAsia"/>
          <w:color w:val="000000" w:themeColor="text1"/>
          <w:sz w:val="30"/>
          <w:szCs w:val="30"/>
        </w:rPr>
        <w:t>课题名称：</w:t>
      </w:r>
      <w:r>
        <w:rPr>
          <w:rFonts w:ascii="Times New Roman" w:eastAsia="黑体" w:hAnsi="Times New Roman" w:cs="Times New Roman"/>
          <w:color w:val="000000" w:themeColor="text1"/>
          <w:sz w:val="30"/>
          <w:szCs w:val="30"/>
        </w:rPr>
        <w:t>PISA</w:t>
      </w:r>
      <w:r>
        <w:rPr>
          <w:rFonts w:eastAsia="黑体" w:hint="eastAsia"/>
          <w:color w:val="000000" w:themeColor="text1"/>
          <w:sz w:val="30"/>
          <w:szCs w:val="30"/>
        </w:rPr>
        <w:t>数学素养与测试框架研究</w:t>
      </w:r>
    </w:p>
    <w:p w:rsidR="007C2BEE" w:rsidRDefault="0000699F">
      <w:pPr>
        <w:adjustRightInd w:val="0"/>
        <w:snapToGrid w:val="0"/>
        <w:spacing w:beforeLines="50" w:before="156" w:afterLines="50" w:after="156" w:line="840" w:lineRule="auto"/>
        <w:ind w:firstLineChars="750" w:firstLine="2250"/>
        <w:jc w:val="left"/>
        <w:outlineLvl w:val="1"/>
        <w:rPr>
          <w:rFonts w:eastAsia="黑体"/>
          <w:color w:val="000000" w:themeColor="text1"/>
          <w:sz w:val="30"/>
          <w:szCs w:val="30"/>
        </w:rPr>
      </w:pPr>
      <w:r>
        <w:rPr>
          <w:rFonts w:eastAsia="黑体" w:hint="eastAsia"/>
          <w:color w:val="000000" w:themeColor="text1"/>
          <w:sz w:val="30"/>
          <w:szCs w:val="30"/>
        </w:rPr>
        <w:t>课题研究人：朱永怡</w:t>
      </w:r>
    </w:p>
    <w:p w:rsidR="007C2BEE" w:rsidRDefault="0000699F">
      <w:pPr>
        <w:adjustRightInd w:val="0"/>
        <w:snapToGrid w:val="0"/>
        <w:spacing w:beforeLines="50" w:before="156" w:afterLines="50" w:after="156" w:line="840" w:lineRule="auto"/>
        <w:ind w:firstLineChars="750" w:firstLine="2250"/>
        <w:jc w:val="left"/>
        <w:outlineLvl w:val="1"/>
        <w:rPr>
          <w:rFonts w:eastAsia="黑体"/>
          <w:color w:val="000000" w:themeColor="text1"/>
          <w:sz w:val="30"/>
          <w:szCs w:val="30"/>
        </w:rPr>
      </w:pPr>
      <w:r>
        <w:rPr>
          <w:rFonts w:eastAsia="黑体" w:hint="eastAsia"/>
          <w:color w:val="000000" w:themeColor="text1"/>
          <w:sz w:val="30"/>
          <w:szCs w:val="30"/>
        </w:rPr>
        <w:t>课题指导教师：赵化冻</w:t>
      </w:r>
    </w:p>
    <w:p w:rsidR="007C2BEE" w:rsidRDefault="0000699F">
      <w:pPr>
        <w:adjustRightInd w:val="0"/>
        <w:snapToGrid w:val="0"/>
        <w:spacing w:beforeLines="50" w:before="156" w:afterLines="50" w:after="156" w:line="840" w:lineRule="auto"/>
        <w:ind w:firstLineChars="750" w:firstLine="2250"/>
        <w:jc w:val="left"/>
        <w:outlineLvl w:val="1"/>
        <w:rPr>
          <w:rFonts w:eastAsia="黑体"/>
          <w:color w:val="000000" w:themeColor="text1"/>
          <w:sz w:val="30"/>
          <w:szCs w:val="30"/>
        </w:rPr>
      </w:pPr>
      <w:r>
        <w:rPr>
          <w:rFonts w:eastAsia="黑体" w:hint="eastAsia"/>
          <w:color w:val="000000" w:themeColor="text1"/>
          <w:sz w:val="30"/>
          <w:szCs w:val="30"/>
        </w:rPr>
        <w:t>学校：中国矿业大学附属中学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1"/>
        <w:rPr>
          <w:rFonts w:eastAsia="黑体"/>
          <w:sz w:val="30"/>
        </w:rPr>
      </w:pPr>
      <w:bookmarkStart w:id="5" w:name="_GoBack"/>
      <w:bookmarkEnd w:id="5"/>
      <w:r>
        <w:rPr>
          <w:rFonts w:ascii="Times New Roman" w:eastAsia="黑体" w:hAnsi="Times New Roman" w:cs="Times New Roman"/>
          <w:sz w:val="30"/>
        </w:rPr>
        <w:lastRenderedPageBreak/>
        <w:t>1</w:t>
      </w:r>
      <w:r>
        <w:rPr>
          <w:rFonts w:ascii="Times New Roman" w:eastAsia="黑体" w:hAnsi="Times New Roman" w:cs="Times New Roman"/>
          <w:sz w:val="30"/>
        </w:rPr>
        <w:t xml:space="preserve"> </w:t>
      </w:r>
      <w:r>
        <w:rPr>
          <w:rFonts w:eastAsia="黑体"/>
          <w:sz w:val="30"/>
        </w:rPr>
        <w:t>研究背景</w:t>
      </w:r>
      <w:bookmarkEnd w:id="0"/>
      <w:bookmarkEnd w:id="1"/>
      <w:bookmarkEnd w:id="2"/>
      <w:bookmarkEnd w:id="3"/>
      <w:bookmarkEnd w:id="4"/>
    </w:p>
    <w:p w:rsidR="007C2BEE" w:rsidRDefault="0000699F">
      <w:pPr>
        <w:spacing w:line="400" w:lineRule="exact"/>
        <w:ind w:firstLine="482"/>
        <w:rPr>
          <w:color w:val="000000" w:themeColor="text1"/>
          <w:sz w:val="24"/>
          <w:szCs w:val="24"/>
        </w:rPr>
      </w:pPr>
      <w:bookmarkStart w:id="6" w:name="_Toc30907"/>
      <w:bookmarkStart w:id="7" w:name="_Toc30616"/>
      <w:r>
        <w:rPr>
          <w:rFonts w:ascii="Times New Roman" w:hAnsi="Times New Roman" w:cs="Times New Roman"/>
          <w:color w:val="000000" w:themeColor="text1"/>
          <w:sz w:val="24"/>
          <w:szCs w:val="24"/>
        </w:rPr>
        <w:t>1997</w:t>
      </w:r>
      <w:r>
        <w:rPr>
          <w:rFonts w:hint="eastAsia"/>
          <w:color w:val="000000" w:themeColor="text1"/>
          <w:sz w:val="24"/>
          <w:szCs w:val="24"/>
        </w:rPr>
        <w:t>年，为了进行学生学业成绩的跨国比较研究，世界经济合作与发展组织（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OECD</w:t>
      </w:r>
      <w:r>
        <w:rPr>
          <w:rFonts w:hint="eastAsia"/>
          <w:color w:val="000000" w:themeColor="text1"/>
          <w:sz w:val="24"/>
          <w:szCs w:val="24"/>
        </w:rPr>
        <w:t>）启动了国际学生评估项目（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Programme for International Student Assessment </w:t>
      </w:r>
      <w:r>
        <w:rPr>
          <w:rFonts w:hint="eastAsia"/>
          <w:color w:val="000000" w:themeColor="text1"/>
          <w:sz w:val="24"/>
          <w:szCs w:val="24"/>
        </w:rPr>
        <w:t>简称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hint="eastAsia"/>
          <w:color w:val="000000" w:themeColor="text1"/>
          <w:sz w:val="24"/>
          <w:szCs w:val="24"/>
        </w:rPr>
        <w:t>），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hint="eastAsia"/>
          <w:color w:val="000000" w:themeColor="text1"/>
          <w:sz w:val="24"/>
          <w:szCs w:val="24"/>
        </w:rPr>
        <w:t>在各参与国普遍接受的框架内，用学业成绩来监督各国教育系统的结果。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PISA</w:t>
      </w:r>
      <w:r>
        <w:rPr>
          <w:rFonts w:hint="eastAsia"/>
          <w:color w:val="000000" w:themeColor="text1"/>
          <w:sz w:val="24"/>
          <w:szCs w:val="24"/>
        </w:rPr>
        <w:t>测试分为三个领域：阅读素养、数学素养及科学素养。在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2009</w:t>
      </w:r>
      <w:r>
        <w:rPr>
          <w:rFonts w:hint="eastAsia"/>
          <w:color w:val="000000" w:themeColor="text1"/>
          <w:sz w:val="24"/>
          <w:szCs w:val="24"/>
        </w:rPr>
        <w:t>年，我国上海首次参加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hint="eastAsia"/>
          <w:color w:val="000000" w:themeColor="text1"/>
          <w:sz w:val="24"/>
          <w:szCs w:val="24"/>
        </w:rPr>
        <w:t>测试，拿到三项第一；在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2012</w:t>
      </w:r>
      <w:r>
        <w:rPr>
          <w:rFonts w:hint="eastAsia"/>
          <w:color w:val="000000" w:themeColor="text1"/>
          <w:sz w:val="24"/>
          <w:szCs w:val="24"/>
        </w:rPr>
        <w:t>年，上海又拿到三项第一；但是，在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2015</w:t>
      </w:r>
      <w:r>
        <w:rPr>
          <w:rFonts w:hint="eastAsia"/>
          <w:color w:val="000000" w:themeColor="text1"/>
          <w:sz w:val="24"/>
          <w:szCs w:val="24"/>
        </w:rPr>
        <w:t>年，北京、上海、江苏、广州组成的中国联合体位居总分第十。</w:t>
      </w:r>
    </w:p>
    <w:p w:rsidR="007C2BEE" w:rsidRDefault="0000699F">
      <w:pPr>
        <w:spacing w:line="400" w:lineRule="exact"/>
        <w:ind w:firstLine="482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我国正逐步把工作重心放在教育质量上，并大力加强教育质量监测工作。</w:t>
      </w:r>
      <w:r>
        <w:rPr>
          <w:rFonts w:hint="eastAsia"/>
          <w:color w:val="000000" w:themeColor="text1"/>
          <w:sz w:val="24"/>
          <w:szCs w:val="24"/>
        </w:rPr>
        <w:t>教育部基础教育课程与教材发展中心成立了“建立</w:t>
      </w:r>
      <w:r>
        <w:rPr>
          <w:rFonts w:hint="eastAsia"/>
          <w:color w:val="000000" w:themeColor="text1"/>
          <w:sz w:val="24"/>
          <w:szCs w:val="24"/>
        </w:rPr>
        <w:t>国家中小学生学习质量分析与制导系统”项目组，上海市教育科学研究院也成立了国际学生评估项目（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hint="eastAsia"/>
          <w:color w:val="000000" w:themeColor="text1"/>
          <w:sz w:val="24"/>
          <w:szCs w:val="24"/>
        </w:rPr>
        <w:t>）研究中心。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hint="eastAsia"/>
          <w:color w:val="000000" w:themeColor="text1"/>
          <w:sz w:val="24"/>
          <w:szCs w:val="24"/>
        </w:rPr>
        <w:t>对各国的影响不仅是其前瞻性评估，其对学生素养的多维度分析也引领着各国的课程教学改革。我国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2017</w:t>
      </w:r>
      <w:r>
        <w:rPr>
          <w:rFonts w:hint="eastAsia"/>
          <w:color w:val="000000" w:themeColor="text1"/>
          <w:sz w:val="24"/>
          <w:szCs w:val="24"/>
        </w:rPr>
        <w:t>年修订并颁布了《高中数学课程标准》，提出了数学抽象、逻辑推理、数学建模、直观想象、数学运算、数据分析六个核心素养，这些核心素养正是来源于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hint="eastAsia"/>
          <w:color w:val="000000" w:themeColor="text1"/>
          <w:sz w:val="24"/>
          <w:szCs w:val="24"/>
        </w:rPr>
        <w:t>的“素养（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literacy</w:t>
      </w:r>
      <w:r>
        <w:rPr>
          <w:rFonts w:hint="eastAsia"/>
          <w:color w:val="000000" w:themeColor="text1"/>
          <w:sz w:val="24"/>
          <w:szCs w:val="24"/>
        </w:rPr>
        <w:t>）”概念。</w:t>
      </w:r>
      <w:bookmarkEnd w:id="6"/>
      <w:bookmarkEnd w:id="7"/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1"/>
        <w:rPr>
          <w:rFonts w:eastAsia="黑体"/>
          <w:color w:val="000000"/>
          <w:sz w:val="30"/>
        </w:rPr>
      </w:pPr>
      <w:r>
        <w:rPr>
          <w:rFonts w:ascii="Times New Roman" w:eastAsia="黑体" w:hAnsi="Times New Roman" w:cs="Times New Roman" w:hint="eastAsia"/>
          <w:sz w:val="30"/>
        </w:rPr>
        <w:t xml:space="preserve">2 </w:t>
      </w:r>
      <w:r>
        <w:rPr>
          <w:rFonts w:eastAsia="黑体" w:hint="eastAsia"/>
          <w:color w:val="000000"/>
          <w:sz w:val="30"/>
        </w:rPr>
        <w:t>概念界定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bookmarkStart w:id="8" w:name="_Toc72346654"/>
      <w:bookmarkStart w:id="9" w:name="_Toc72359426"/>
      <w:bookmarkStart w:id="10" w:name="_Toc10121924"/>
      <w:bookmarkStart w:id="11" w:name="_Toc479087645"/>
      <w:bookmarkStart w:id="12" w:name="_Toc514773505"/>
      <w:bookmarkStart w:id="13" w:name="_Toc482779434"/>
      <w:r>
        <w:rPr>
          <w:rFonts w:ascii="Times New Roman" w:eastAsia="黑体" w:hAnsi="Times New Roman" w:cs="Times New Roman"/>
          <w:color w:val="000000"/>
          <w:sz w:val="28"/>
        </w:rPr>
        <w:t xml:space="preserve">2.1 </w:t>
      </w:r>
      <w:bookmarkEnd w:id="8"/>
      <w:bookmarkEnd w:id="9"/>
      <w:bookmarkEnd w:id="10"/>
      <w:bookmarkEnd w:id="11"/>
      <w:bookmarkEnd w:id="12"/>
      <w:bookmarkEnd w:id="13"/>
      <w:r>
        <w:rPr>
          <w:rFonts w:ascii="Times New Roman" w:eastAsia="黑体" w:hAnsi="Times New Roman" w:cs="Times New Roman"/>
          <w:color w:val="000000"/>
          <w:sz w:val="28"/>
        </w:rPr>
        <w:t>PISA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PISA</w:t>
      </w:r>
      <w:r>
        <w:rPr>
          <w:rFonts w:hint="eastAsia"/>
          <w:color w:val="000000" w:themeColor="text1"/>
          <w:sz w:val="24"/>
          <w:szCs w:val="24"/>
        </w:rPr>
        <w:t>是一项由经济合作与发展组织（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OECD</w:t>
      </w:r>
      <w:r>
        <w:rPr>
          <w:rFonts w:hint="eastAsia"/>
          <w:color w:val="000000" w:themeColor="text1"/>
          <w:sz w:val="24"/>
          <w:szCs w:val="24"/>
        </w:rPr>
        <w:t>）发起的国际学生评估项目，全称为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Programme for International Student Assessment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，旨在评估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15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岁学生在完成或即将完成义务教育后，是否能够掌握社会所需的技能。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测试分为三个领域：阅读素养、数学素养及科学素养。首次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调查于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2000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年实施，重点领域为阅读，下一个为期三年的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测试重点是数学，再下一个重点是科学，如此往复。通过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测试结果，各国可在与他国比较中了解本国学生素养技能，也为本国教育改进确立基准线。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/>
          <w:color w:val="000000"/>
          <w:sz w:val="28"/>
        </w:rPr>
        <w:t>2.</w:t>
      </w:r>
      <w:r>
        <w:rPr>
          <w:rFonts w:ascii="Times New Roman" w:eastAsia="黑体" w:hAnsi="Times New Roman" w:cs="Times New Roman" w:hint="eastAsia"/>
          <w:color w:val="000000"/>
          <w:sz w:val="28"/>
        </w:rPr>
        <w:t>2</w:t>
      </w:r>
      <w:r>
        <w:rPr>
          <w:rFonts w:ascii="Times New Roman" w:eastAsia="黑体" w:hAnsi="Times New Roman" w:cs="Times New Roman"/>
          <w:color w:val="000000"/>
          <w:sz w:val="28"/>
        </w:rPr>
        <w:t xml:space="preserve"> </w:t>
      </w:r>
      <w:r>
        <w:rPr>
          <w:rFonts w:ascii="Times New Roman" w:eastAsia="黑体" w:hAnsi="Times New Roman" w:cs="Times New Roman"/>
          <w:color w:val="000000"/>
          <w:sz w:val="28"/>
        </w:rPr>
        <w:t>PISA</w:t>
      </w:r>
      <w:r>
        <w:rPr>
          <w:rFonts w:ascii="Times New Roman" w:eastAsia="黑体" w:hAnsi="Times New Roman" w:cs="Times New Roman" w:hint="eastAsia"/>
          <w:color w:val="000000"/>
          <w:sz w:val="28"/>
        </w:rPr>
        <w:t>数学素养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PISA2012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将数学素养定义为：数学素养是个体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在各种情境中进行数学表述、数学运用和数学阐释的能力，它包含数学推理，运用数学概念、数学步骤、数学事实和数学工具来描述、解释和预测数学现象。它帮助个体认识数学在现实世界中起到的作用，作出有根据的判断和决策，以成为具有建设性、参与意识和反思能力的公民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1"/>
        <w:rPr>
          <w:rFonts w:eastAsia="黑体"/>
          <w:color w:val="000000"/>
          <w:sz w:val="30"/>
        </w:rPr>
      </w:pPr>
      <w:r>
        <w:rPr>
          <w:rFonts w:ascii="Times New Roman" w:eastAsia="黑体" w:hAnsi="Times New Roman" w:cs="Times New Roman" w:hint="eastAsia"/>
          <w:sz w:val="30"/>
        </w:rPr>
        <w:t xml:space="preserve">3 </w:t>
      </w:r>
      <w:r>
        <w:rPr>
          <w:rFonts w:eastAsia="黑体" w:hint="eastAsia"/>
          <w:color w:val="000000"/>
          <w:sz w:val="30"/>
        </w:rPr>
        <w:t>文献综述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3</w:t>
      </w:r>
      <w:r>
        <w:rPr>
          <w:rFonts w:ascii="Times New Roman" w:eastAsia="黑体" w:hAnsi="Times New Roman" w:cs="Times New Roman"/>
          <w:color w:val="000000"/>
          <w:sz w:val="28"/>
        </w:rPr>
        <w:t xml:space="preserve">.1 </w:t>
      </w:r>
      <w:r>
        <w:rPr>
          <w:rFonts w:ascii="Times New Roman" w:eastAsia="黑体" w:hAnsi="Times New Roman" w:cs="Times New Roman"/>
          <w:color w:val="000000"/>
          <w:sz w:val="28"/>
        </w:rPr>
        <w:t>PISA</w:t>
      </w:r>
      <w:r>
        <w:rPr>
          <w:rFonts w:ascii="Times New Roman" w:eastAsia="黑体" w:hAnsi="Times New Roman" w:cs="Times New Roman" w:hint="eastAsia"/>
          <w:color w:val="000000"/>
          <w:sz w:val="28"/>
        </w:rPr>
        <w:t>测试框架研究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发表在《上海教育研究》上的王唏《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：阅读素养的界定与测评》、黄慧娟《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：数学素养的界定与测评》、徐明《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：科学素养的界定与测评》主要介绍了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的测试内容和测试框架。赖小琴《国际学生评价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TIMSS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和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的比较与反思》从评价模式、题型设计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lastRenderedPageBreak/>
        <w:t>和评分方法等方面进行了比教研究。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3</w:t>
      </w:r>
      <w:r>
        <w:rPr>
          <w:rFonts w:ascii="Times New Roman" w:eastAsia="黑体" w:hAnsi="Times New Roman" w:cs="Times New Roman"/>
          <w:color w:val="000000"/>
          <w:sz w:val="28"/>
        </w:rPr>
        <w:t>.</w:t>
      </w:r>
      <w:r>
        <w:rPr>
          <w:rFonts w:ascii="Times New Roman" w:eastAsia="黑体" w:hAnsi="Times New Roman" w:cs="Times New Roman" w:hint="eastAsia"/>
          <w:color w:val="000000"/>
          <w:sz w:val="28"/>
        </w:rPr>
        <w:t>2</w:t>
      </w:r>
      <w:r>
        <w:rPr>
          <w:rFonts w:ascii="Times New Roman" w:eastAsia="黑体" w:hAnsi="Times New Roman" w:cs="Times New Roman"/>
          <w:color w:val="000000"/>
          <w:sz w:val="28"/>
        </w:rPr>
        <w:t xml:space="preserve"> </w:t>
      </w:r>
      <w:r>
        <w:rPr>
          <w:rFonts w:ascii="Times New Roman" w:eastAsia="黑体" w:hAnsi="Times New Roman" w:cs="Times New Roman"/>
          <w:color w:val="000000"/>
          <w:sz w:val="28"/>
        </w:rPr>
        <w:t>PISA</w:t>
      </w:r>
      <w:r>
        <w:rPr>
          <w:rFonts w:ascii="Times New Roman" w:eastAsia="黑体" w:hAnsi="Times New Roman" w:cs="Times New Roman" w:hint="eastAsia"/>
          <w:color w:val="000000"/>
          <w:sz w:val="28"/>
        </w:rPr>
        <w:t>对教育改革的启示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孔凡哲、史宁中写的《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对我国中小学考试评价与质量监控的启示》，杨希洁写的《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特点分析及其对我国基础教育评价制度改革的启示》，这几篇文章从评价价值取向、测试内容、评价结构等方面论述其对我国考试评价的启示。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3</w:t>
      </w:r>
      <w:r>
        <w:rPr>
          <w:rFonts w:ascii="Times New Roman" w:eastAsia="黑体" w:hAnsi="Times New Roman" w:cs="Times New Roman"/>
          <w:color w:val="000000"/>
          <w:sz w:val="28"/>
        </w:rPr>
        <w:t>.</w:t>
      </w:r>
      <w:r>
        <w:rPr>
          <w:rFonts w:ascii="Times New Roman" w:eastAsia="黑体" w:hAnsi="Times New Roman" w:cs="Times New Roman" w:hint="eastAsia"/>
          <w:color w:val="000000"/>
          <w:sz w:val="28"/>
        </w:rPr>
        <w:t>3</w:t>
      </w:r>
      <w:r>
        <w:rPr>
          <w:rFonts w:ascii="Times New Roman" w:eastAsia="黑体" w:hAnsi="Times New Roman" w:cs="Times New Roman"/>
          <w:color w:val="000000"/>
          <w:sz w:val="28"/>
        </w:rPr>
        <w:t xml:space="preserve"> </w:t>
      </w:r>
      <w:r>
        <w:rPr>
          <w:rFonts w:ascii="Times New Roman" w:eastAsia="黑体" w:hAnsi="Times New Roman" w:cs="Times New Roman"/>
          <w:color w:val="000000"/>
          <w:sz w:val="28"/>
        </w:rPr>
        <w:t>PISA</w:t>
      </w:r>
      <w:r>
        <w:rPr>
          <w:rFonts w:ascii="Times New Roman" w:eastAsia="黑体" w:hAnsi="Times New Roman" w:cs="Times New Roman" w:hint="eastAsia"/>
          <w:color w:val="000000"/>
          <w:sz w:val="28"/>
        </w:rPr>
        <w:t>数学素养研究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苏洪雨写的《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和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TIMSS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视野下的学生数学素养研究》，刘晓玫写的《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及其对学生几何素养的关注与考察》。这些文章论述了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对数学素养的界定，以及对数学素养测试的背景、测试内容和测试框架。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1"/>
        <w:rPr>
          <w:rFonts w:eastAsia="黑体"/>
          <w:color w:val="000000"/>
          <w:sz w:val="30"/>
        </w:rPr>
      </w:pPr>
      <w:r>
        <w:rPr>
          <w:rFonts w:ascii="Times New Roman" w:eastAsia="黑体" w:hAnsi="Times New Roman" w:cs="Times New Roman" w:hint="eastAsia"/>
          <w:sz w:val="30"/>
        </w:rPr>
        <w:t xml:space="preserve">4 </w:t>
      </w:r>
      <w:r>
        <w:rPr>
          <w:rFonts w:ascii="Times New Roman" w:eastAsia="黑体" w:hAnsi="Times New Roman" w:cs="Times New Roman" w:hint="eastAsia"/>
          <w:sz w:val="30"/>
        </w:rPr>
        <w:t>研究价值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课题研究聚焦于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数学素养，将其与《普通高中数学课程标准（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2017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年版）》中的数学素养进行比较，叙述其源流关系，明确高中阶段数学学习的终极目标，即从知识技能的掌握到数学思想的提升，最后到数学素养的内化。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课题聚焦于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测试框架分析，分析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测试框架的构成维度，从而更好的理解数学试题，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为学生的数学学习提供一种视角。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1"/>
        <w:rPr>
          <w:rFonts w:eastAsia="黑体"/>
          <w:color w:val="000000"/>
          <w:sz w:val="30"/>
        </w:rPr>
      </w:pPr>
      <w:r>
        <w:rPr>
          <w:rFonts w:ascii="Times New Roman" w:eastAsia="黑体" w:hAnsi="Times New Roman" w:cs="Times New Roman" w:hint="eastAsia"/>
          <w:sz w:val="30"/>
        </w:rPr>
        <w:t xml:space="preserve">5 </w:t>
      </w:r>
      <w:r>
        <w:rPr>
          <w:rFonts w:ascii="Times New Roman" w:eastAsia="黑体" w:hAnsi="Times New Roman" w:cs="Times New Roman" w:hint="eastAsia"/>
          <w:sz w:val="30"/>
        </w:rPr>
        <w:t>研究重点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5</w:t>
      </w:r>
      <w:r>
        <w:rPr>
          <w:rFonts w:ascii="Times New Roman" w:eastAsia="黑体" w:hAnsi="Times New Roman" w:cs="Times New Roman"/>
          <w:color w:val="000000"/>
          <w:sz w:val="28"/>
        </w:rPr>
        <w:t xml:space="preserve">.1 </w:t>
      </w:r>
      <w:r>
        <w:rPr>
          <w:rFonts w:ascii="Times New Roman" w:eastAsia="黑体" w:hAnsi="Times New Roman" w:cs="Times New Roman"/>
          <w:color w:val="000000"/>
          <w:sz w:val="28"/>
        </w:rPr>
        <w:t>PISA</w:t>
      </w:r>
      <w:r>
        <w:rPr>
          <w:rFonts w:ascii="Times New Roman" w:eastAsia="黑体" w:hAnsi="Times New Roman" w:cs="Times New Roman" w:hint="eastAsia"/>
          <w:color w:val="000000"/>
          <w:sz w:val="28"/>
        </w:rPr>
        <w:t>数学素养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数学素养的内涵，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数学素养与《普通高中数学课程标准（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2017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年版）》中数学素养的相同和相异点。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5</w:t>
      </w:r>
      <w:r>
        <w:rPr>
          <w:rFonts w:ascii="Times New Roman" w:eastAsia="黑体" w:hAnsi="Times New Roman" w:cs="Times New Roman"/>
          <w:color w:val="000000"/>
          <w:sz w:val="28"/>
        </w:rPr>
        <w:t xml:space="preserve">.1 </w:t>
      </w:r>
      <w:r>
        <w:rPr>
          <w:rFonts w:ascii="Times New Roman" w:eastAsia="黑体" w:hAnsi="Times New Roman" w:cs="Times New Roman"/>
          <w:color w:val="000000"/>
          <w:sz w:val="28"/>
        </w:rPr>
        <w:t>PISA</w:t>
      </w:r>
      <w:r>
        <w:rPr>
          <w:rFonts w:ascii="Times New Roman" w:eastAsia="黑体" w:hAnsi="Times New Roman" w:cs="Times New Roman" w:hint="eastAsia"/>
          <w:color w:val="000000"/>
          <w:sz w:val="28"/>
        </w:rPr>
        <w:t>测试框架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分析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测试框架，分析其突出特点，并尝试分析其对我国数学试题编制的启示。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1"/>
        <w:rPr>
          <w:rFonts w:eastAsia="黑体"/>
          <w:color w:val="000000"/>
          <w:sz w:val="30"/>
        </w:rPr>
      </w:pPr>
      <w:r>
        <w:rPr>
          <w:rFonts w:ascii="Times New Roman" w:eastAsia="黑体" w:hAnsi="Times New Roman" w:cs="Times New Roman" w:hint="eastAsia"/>
          <w:sz w:val="30"/>
        </w:rPr>
        <w:t xml:space="preserve">6 </w:t>
      </w:r>
      <w:r>
        <w:rPr>
          <w:rFonts w:ascii="Times New Roman" w:eastAsia="黑体" w:hAnsi="Times New Roman" w:cs="Times New Roman" w:hint="eastAsia"/>
          <w:sz w:val="30"/>
        </w:rPr>
        <w:t>研究思路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6</w:t>
      </w:r>
      <w:r>
        <w:rPr>
          <w:rFonts w:ascii="Times New Roman" w:eastAsia="黑体" w:hAnsi="Times New Roman" w:cs="Times New Roman"/>
          <w:color w:val="000000"/>
          <w:sz w:val="28"/>
        </w:rPr>
        <w:t>.1</w:t>
      </w:r>
      <w:r>
        <w:rPr>
          <w:rFonts w:ascii="Times New Roman" w:eastAsia="黑体" w:hAnsi="Times New Roman" w:cs="Times New Roman" w:hint="eastAsia"/>
          <w:color w:val="000000"/>
          <w:sz w:val="28"/>
        </w:rPr>
        <w:t>阅读</w:t>
      </w:r>
      <w:r>
        <w:rPr>
          <w:rFonts w:ascii="Times New Roman" w:eastAsia="黑体" w:hAnsi="Times New Roman" w:cs="Times New Roman"/>
          <w:color w:val="000000"/>
          <w:sz w:val="28"/>
        </w:rPr>
        <w:t xml:space="preserve"> </w:t>
      </w:r>
      <w:r>
        <w:rPr>
          <w:rFonts w:ascii="Times New Roman" w:eastAsia="黑体" w:hAnsi="Times New Roman" w:cs="Times New Roman"/>
          <w:color w:val="000000"/>
          <w:sz w:val="28"/>
        </w:rPr>
        <w:t>PISA</w:t>
      </w:r>
      <w:r>
        <w:rPr>
          <w:rFonts w:ascii="Times New Roman" w:eastAsia="黑体" w:hAnsi="Times New Roman" w:cs="Times New Roman" w:hint="eastAsia"/>
          <w:color w:val="000000"/>
          <w:sz w:val="28"/>
        </w:rPr>
        <w:t>书籍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浏览经合组织（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OECD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）关于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的官方网站，下载其评价报告以及放出的数学试题，通过知网下载相关文献，购买几本关于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的书籍，了解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内涵、测试框架等。</w:t>
      </w:r>
    </w:p>
    <w:p w:rsidR="007C2BEE" w:rsidRDefault="0000699F">
      <w:pPr>
        <w:spacing w:line="400" w:lineRule="exact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6</w:t>
      </w:r>
      <w:r>
        <w:rPr>
          <w:rFonts w:ascii="Times New Roman" w:eastAsia="黑体" w:hAnsi="Times New Roman" w:cs="Times New Roman"/>
          <w:color w:val="000000"/>
          <w:sz w:val="28"/>
        </w:rPr>
        <w:t>.</w:t>
      </w:r>
      <w:r>
        <w:rPr>
          <w:rFonts w:ascii="Times New Roman" w:eastAsia="黑体" w:hAnsi="Times New Roman" w:cs="Times New Roman" w:hint="eastAsia"/>
          <w:color w:val="000000"/>
          <w:sz w:val="28"/>
        </w:rPr>
        <w:t>2</w:t>
      </w:r>
      <w:r>
        <w:rPr>
          <w:rFonts w:ascii="Times New Roman" w:eastAsia="黑体" w:hAnsi="Times New Roman" w:cs="Times New Roman"/>
          <w:color w:val="000000"/>
          <w:sz w:val="28"/>
        </w:rPr>
        <w:t xml:space="preserve"> </w:t>
      </w:r>
      <w:r>
        <w:rPr>
          <w:rFonts w:ascii="Times New Roman" w:eastAsia="黑体" w:hAnsi="Times New Roman" w:cs="Times New Roman" w:hint="eastAsia"/>
          <w:color w:val="000000"/>
          <w:sz w:val="28"/>
        </w:rPr>
        <w:t>阅读“数学素养”书籍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第二，购买《普通高中数学课程标准（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2017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年版）解读》以及其他与“数学核心素养”有关的书籍进行阅读。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6</w:t>
      </w:r>
      <w:r>
        <w:rPr>
          <w:rFonts w:ascii="Times New Roman" w:eastAsia="黑体" w:hAnsi="Times New Roman" w:cs="Times New Roman"/>
          <w:color w:val="000000"/>
          <w:sz w:val="28"/>
        </w:rPr>
        <w:t>.</w:t>
      </w:r>
      <w:r>
        <w:rPr>
          <w:rFonts w:ascii="Times New Roman" w:eastAsia="黑体" w:hAnsi="Times New Roman" w:cs="Times New Roman" w:hint="eastAsia"/>
          <w:color w:val="000000"/>
          <w:sz w:val="28"/>
        </w:rPr>
        <w:t>3</w:t>
      </w:r>
      <w:r>
        <w:rPr>
          <w:rFonts w:ascii="Times New Roman" w:eastAsia="黑体" w:hAnsi="Times New Roman" w:cs="Times New Roman" w:hint="eastAsia"/>
          <w:color w:val="000000"/>
          <w:sz w:val="28"/>
        </w:rPr>
        <w:t>比较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lastRenderedPageBreak/>
        <w:t>比较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数学素养与《高中数学课标》中数学素养的区别和联系。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6</w:t>
      </w:r>
      <w:r>
        <w:rPr>
          <w:rFonts w:ascii="Times New Roman" w:eastAsia="黑体" w:hAnsi="Times New Roman" w:cs="Times New Roman"/>
          <w:color w:val="000000"/>
          <w:sz w:val="28"/>
        </w:rPr>
        <w:t>.</w:t>
      </w:r>
      <w:r>
        <w:rPr>
          <w:rFonts w:ascii="Times New Roman" w:eastAsia="黑体" w:hAnsi="Times New Roman" w:cs="Times New Roman" w:hint="eastAsia"/>
          <w:color w:val="000000"/>
          <w:sz w:val="28"/>
        </w:rPr>
        <w:t>4</w:t>
      </w:r>
      <w:r>
        <w:rPr>
          <w:rFonts w:ascii="Times New Roman" w:eastAsia="黑体" w:hAnsi="Times New Roman" w:cs="Times New Roman" w:hint="eastAsia"/>
          <w:color w:val="000000"/>
          <w:sz w:val="28"/>
        </w:rPr>
        <w:t>分析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分析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报告中阐述的测试框架，并基于测试框架对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官方网站放出的试题进行分析，从而得到其突出特点。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6</w:t>
      </w:r>
      <w:r>
        <w:rPr>
          <w:rFonts w:ascii="Times New Roman" w:eastAsia="黑体" w:hAnsi="Times New Roman" w:cs="Times New Roman"/>
          <w:color w:val="000000"/>
          <w:sz w:val="28"/>
        </w:rPr>
        <w:t>.</w:t>
      </w:r>
      <w:r>
        <w:rPr>
          <w:rFonts w:ascii="Times New Roman" w:eastAsia="黑体" w:hAnsi="Times New Roman" w:cs="Times New Roman" w:hint="eastAsia"/>
          <w:color w:val="000000"/>
          <w:sz w:val="28"/>
        </w:rPr>
        <w:t>5</w:t>
      </w:r>
      <w:r>
        <w:rPr>
          <w:rFonts w:ascii="Times New Roman" w:eastAsia="黑体" w:hAnsi="Times New Roman" w:cs="Times New Roman" w:hint="eastAsia"/>
          <w:color w:val="000000"/>
          <w:sz w:val="28"/>
        </w:rPr>
        <w:t>启示</w:t>
      </w:r>
    </w:p>
    <w:p w:rsidR="007C2BEE" w:rsidRDefault="0000699F">
      <w:pPr>
        <w:tabs>
          <w:tab w:val="left" w:pos="503"/>
        </w:tabs>
        <w:spacing w:line="400" w:lineRule="exact"/>
        <w:ind w:firstLineChars="200" w:firstLine="480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思考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测试框架对我国数学试题编制的启示。</w:t>
      </w:r>
      <w:r>
        <w:rPr>
          <w:rFonts w:ascii="Times New Roman" w:eastAsia="黑体" w:hAnsi="Times New Roman" w:cs="Times New Roman" w:hint="eastAsia"/>
          <w:color w:val="000000"/>
          <w:sz w:val="28"/>
        </w:rPr>
        <w:tab/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1"/>
        <w:rPr>
          <w:rFonts w:eastAsia="黑体"/>
          <w:color w:val="000000"/>
          <w:sz w:val="30"/>
        </w:rPr>
      </w:pPr>
      <w:r>
        <w:rPr>
          <w:rFonts w:ascii="Times New Roman" w:eastAsia="黑体" w:hAnsi="Times New Roman" w:cs="Times New Roman" w:hint="eastAsia"/>
          <w:sz w:val="30"/>
        </w:rPr>
        <w:t xml:space="preserve">7 </w:t>
      </w:r>
      <w:r>
        <w:rPr>
          <w:rFonts w:ascii="Times New Roman" w:eastAsia="黑体" w:hAnsi="Times New Roman" w:cs="Times New Roman" w:hint="eastAsia"/>
          <w:sz w:val="30"/>
        </w:rPr>
        <w:t>研究方法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7</w:t>
      </w:r>
      <w:r>
        <w:rPr>
          <w:rFonts w:ascii="Times New Roman" w:eastAsia="黑体" w:hAnsi="Times New Roman" w:cs="Times New Roman"/>
          <w:color w:val="000000"/>
          <w:sz w:val="28"/>
        </w:rPr>
        <w:t>.1</w:t>
      </w:r>
      <w:r>
        <w:rPr>
          <w:rFonts w:ascii="Times New Roman" w:eastAsia="黑体" w:hAnsi="Times New Roman" w:cs="Times New Roman" w:hint="eastAsia"/>
          <w:color w:val="000000"/>
          <w:sz w:val="28"/>
        </w:rPr>
        <w:t>文献研究法</w:t>
      </w:r>
    </w:p>
    <w:p w:rsidR="007C2BEE" w:rsidRDefault="0000699F">
      <w:pPr>
        <w:tabs>
          <w:tab w:val="left" w:pos="503"/>
        </w:tabs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文献研究法将贯穿于本研究的全过程。运用文献研究法，在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官方网站、中国知网、购买书籍中收集公开报告、放出试题、论文、期刊等，重点阅读，聚焦于“数学素养”和“测试框架”，通过梳理分析逐渐明晰研究问题，梳理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数学素养和课标数学素养的比较维度，并通过对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试题的研究加深对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测试框架的理解。</w:t>
      </w:r>
    </w:p>
    <w:p w:rsidR="007C2BEE" w:rsidRDefault="0000699F">
      <w:pPr>
        <w:adjustRightInd w:val="0"/>
        <w:snapToGrid w:val="0"/>
        <w:spacing w:beforeLines="50" w:before="156" w:afterLines="50" w:after="156"/>
        <w:jc w:val="left"/>
        <w:outlineLvl w:val="2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</w:rPr>
        <w:t>7</w:t>
      </w:r>
      <w:r>
        <w:rPr>
          <w:rFonts w:ascii="Times New Roman" w:eastAsia="黑体" w:hAnsi="Times New Roman" w:cs="Times New Roman"/>
          <w:color w:val="000000"/>
          <w:sz w:val="28"/>
        </w:rPr>
        <w:t>.</w:t>
      </w:r>
      <w:r>
        <w:rPr>
          <w:rFonts w:ascii="Times New Roman" w:eastAsia="黑体" w:hAnsi="Times New Roman" w:cs="Times New Roman" w:hint="eastAsia"/>
          <w:color w:val="000000"/>
          <w:sz w:val="28"/>
        </w:rPr>
        <w:t>2</w:t>
      </w:r>
      <w:r>
        <w:rPr>
          <w:rFonts w:ascii="Times New Roman" w:eastAsia="黑体" w:hAnsi="Times New Roman" w:cs="Times New Roman" w:hint="eastAsia"/>
          <w:color w:val="000000"/>
          <w:sz w:val="28"/>
        </w:rPr>
        <w:t>比较</w:t>
      </w:r>
      <w:r>
        <w:rPr>
          <w:rFonts w:ascii="Times New Roman" w:eastAsia="黑体" w:hAnsi="Times New Roman" w:cs="Times New Roman" w:hint="eastAsia"/>
          <w:color w:val="000000"/>
          <w:sz w:val="28"/>
        </w:rPr>
        <w:t>法</w:t>
      </w:r>
    </w:p>
    <w:p w:rsidR="007C2BEE" w:rsidRDefault="0000699F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通过文献研究确定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数学素养和《高中数学课标》数学素养的比较维度，进而对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PISA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数学素养和课标数学素养进行比较，从而更加深刻的理解数学素养的内涵。</w:t>
      </w:r>
    </w:p>
    <w:sectPr w:rsidR="007C2BEE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9F" w:rsidRDefault="0000699F">
      <w:r>
        <w:separator/>
      </w:r>
    </w:p>
  </w:endnote>
  <w:endnote w:type="continuationSeparator" w:id="0">
    <w:p w:rsidR="0000699F" w:rsidRDefault="0000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BEE" w:rsidRDefault="0000699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7C2BEE" w:rsidRDefault="0000699F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</w:instrText>
                </w:r>
                <w:r>
                  <w:instrText xml:space="preserve">ORMAT </w:instrText>
                </w:r>
                <w:r>
                  <w:fldChar w:fldCharType="separate"/>
                </w:r>
                <w:r w:rsidR="00A83DFE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9F" w:rsidRDefault="0000699F">
      <w:r>
        <w:separator/>
      </w:r>
    </w:p>
  </w:footnote>
  <w:footnote w:type="continuationSeparator" w:id="0">
    <w:p w:rsidR="0000699F" w:rsidRDefault="00006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2554"/>
    <w:rsid w:val="0000699F"/>
    <w:rsid w:val="00722554"/>
    <w:rsid w:val="007C2BEE"/>
    <w:rsid w:val="00A83DFE"/>
    <w:rsid w:val="00F36236"/>
    <w:rsid w:val="01353FD9"/>
    <w:rsid w:val="087E7FED"/>
    <w:rsid w:val="25796BAC"/>
    <w:rsid w:val="3AF07159"/>
    <w:rsid w:val="42C516CE"/>
    <w:rsid w:val="4A3E5EBD"/>
    <w:rsid w:val="65541A76"/>
    <w:rsid w:val="7E56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E2F9E33"/>
  <w15:docId w15:val="{F758C7F1-66AB-4844-9AA6-0C1EE058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342</Words>
  <Characters>1950</Characters>
  <Application>Microsoft Office Word</Application>
  <DocSecurity>0</DocSecurity>
  <Lines>16</Lines>
  <Paragraphs>4</Paragraphs>
  <ScaleCrop>false</ScaleCrop>
  <Company>WORKGROUP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Sangfor</cp:lastModifiedBy>
  <cp:revision>2</cp:revision>
  <dcterms:created xsi:type="dcterms:W3CDTF">2021-06-14T05:38:00Z</dcterms:created>
  <dcterms:modified xsi:type="dcterms:W3CDTF">2021-06-17T01:27:00Z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5EE0794FAE0E4C51BC7DD717B8CC40AC</vt:lpwstr>
  </property>
</Properties>
</file>