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lang w:val="en-US" w:eastAsia="zh-CN"/>
        </w:rPr>
      </w:pPr>
    </w:p>
    <w:p>
      <w:pPr>
        <w:jc w:val="center"/>
        <w:rPr>
          <w:rFonts w:hint="eastAsia"/>
          <w:sz w:val="52"/>
          <w:szCs w:val="52"/>
          <w:lang w:val="en-US" w:eastAsia="zh-CN"/>
        </w:rPr>
      </w:pPr>
    </w:p>
    <w:p>
      <w:pPr>
        <w:jc w:val="both"/>
        <w:rPr>
          <w:rFonts w:hint="eastAsia"/>
          <w:sz w:val="52"/>
          <w:szCs w:val="52"/>
          <w:lang w:val="en-US" w:eastAsia="zh-CN"/>
        </w:rPr>
      </w:pPr>
    </w:p>
    <w:p>
      <w:pPr>
        <w:jc w:val="center"/>
        <w:rPr>
          <w:rFonts w:hint="eastAsia"/>
          <w:sz w:val="52"/>
          <w:szCs w:val="52"/>
          <w:lang w:val="en-US" w:eastAsia="zh-CN"/>
        </w:rPr>
      </w:pPr>
      <w:r>
        <w:rPr>
          <w:rFonts w:hint="eastAsia"/>
          <w:sz w:val="52"/>
          <w:szCs w:val="52"/>
          <w:lang w:val="en-US" w:eastAsia="zh-CN"/>
        </w:rPr>
        <w:t>中国矿业大学国家大学科技园区位优势及其影响调研</w:t>
      </w:r>
    </w:p>
    <w:p>
      <w:pPr>
        <w:jc w:val="center"/>
        <w:rPr>
          <w:rFonts w:hint="eastAsia"/>
          <w:sz w:val="52"/>
          <w:szCs w:val="52"/>
          <w:lang w:val="en-US" w:eastAsia="zh-CN"/>
        </w:rPr>
      </w:pPr>
      <w:r>
        <w:rPr>
          <w:rFonts w:hint="eastAsia"/>
          <w:sz w:val="52"/>
          <w:szCs w:val="52"/>
          <w:lang w:val="en-US" w:eastAsia="zh-CN"/>
        </w:rPr>
        <w:t>结题报告</w:t>
      </w:r>
    </w:p>
    <w:p>
      <w:pPr>
        <w:jc w:val="center"/>
        <w:rPr>
          <w:rFonts w:hint="eastAsia"/>
          <w:sz w:val="52"/>
          <w:szCs w:val="52"/>
          <w:lang w:val="en-US" w:eastAsia="zh-CN"/>
        </w:rPr>
      </w:pPr>
    </w:p>
    <w:p>
      <w:pPr>
        <w:jc w:val="center"/>
        <w:rPr>
          <w:rFonts w:hint="eastAsia"/>
          <w:sz w:val="52"/>
          <w:szCs w:val="52"/>
          <w:lang w:val="en-US" w:eastAsia="zh-CN"/>
        </w:rPr>
      </w:pPr>
      <w:bookmarkStart w:id="0" w:name="_GoBack"/>
      <w:bookmarkEnd w:id="0"/>
    </w:p>
    <w:p>
      <w:pPr>
        <w:jc w:val="center"/>
        <w:rPr>
          <w:rFonts w:hint="eastAsia"/>
          <w:sz w:val="52"/>
          <w:szCs w:val="52"/>
          <w:lang w:val="en-US" w:eastAsia="zh-CN"/>
        </w:rPr>
      </w:pPr>
    </w:p>
    <w:p>
      <w:pPr>
        <w:jc w:val="center"/>
        <w:rPr>
          <w:rFonts w:hint="eastAsia"/>
          <w:sz w:val="52"/>
          <w:szCs w:val="52"/>
          <w:lang w:val="en-US" w:eastAsia="zh-CN"/>
        </w:rPr>
      </w:pPr>
    </w:p>
    <w:p>
      <w:pPr>
        <w:jc w:val="both"/>
        <w:rPr>
          <w:rFonts w:hint="eastAsia"/>
          <w:sz w:val="52"/>
          <w:szCs w:val="52"/>
          <w:lang w:val="en-US" w:eastAsia="zh-CN"/>
        </w:rPr>
      </w:pPr>
    </w:p>
    <w:p>
      <w:pPr>
        <w:jc w:val="center"/>
        <w:rPr>
          <w:rFonts w:hint="eastAsia"/>
          <w:sz w:val="36"/>
          <w:szCs w:val="36"/>
          <w:lang w:val="en-US" w:eastAsia="zh-CN"/>
        </w:rPr>
      </w:pPr>
      <w:r>
        <w:rPr>
          <w:rFonts w:hint="eastAsia"/>
          <w:sz w:val="36"/>
          <w:szCs w:val="36"/>
          <w:lang w:val="en-US" w:eastAsia="zh-CN"/>
        </w:rPr>
        <w:t>主持人：滑智恒</w:t>
      </w:r>
    </w:p>
    <w:p>
      <w:pPr>
        <w:jc w:val="center"/>
        <w:rPr>
          <w:rFonts w:hint="eastAsia"/>
          <w:sz w:val="36"/>
          <w:szCs w:val="36"/>
          <w:lang w:val="en-US" w:eastAsia="zh-CN"/>
        </w:rPr>
      </w:pPr>
      <w:r>
        <w:rPr>
          <w:rFonts w:hint="eastAsia"/>
          <w:sz w:val="36"/>
          <w:szCs w:val="36"/>
          <w:lang w:val="en-US" w:eastAsia="zh-CN"/>
        </w:rPr>
        <w:t>小组成员：杨玉轩</w:t>
      </w:r>
    </w:p>
    <w:p>
      <w:pPr>
        <w:jc w:val="center"/>
        <w:rPr>
          <w:rFonts w:hint="eastAsia"/>
          <w:sz w:val="36"/>
          <w:szCs w:val="36"/>
          <w:lang w:val="en-US" w:eastAsia="zh-CN"/>
        </w:rPr>
      </w:pPr>
      <w:r>
        <w:rPr>
          <w:rFonts w:hint="eastAsia"/>
          <w:sz w:val="36"/>
          <w:szCs w:val="36"/>
          <w:lang w:val="en-US" w:eastAsia="zh-CN"/>
        </w:rPr>
        <w:t>指导教师：蔡兰英</w:t>
      </w:r>
    </w:p>
    <w:p>
      <w:pPr>
        <w:jc w:val="center"/>
        <w:rPr>
          <w:rFonts w:hint="eastAsia"/>
          <w:b/>
          <w:bCs/>
          <w:sz w:val="32"/>
          <w:szCs w:val="32"/>
          <w:lang w:val="en-US" w:eastAsia="zh-CN"/>
        </w:rPr>
      </w:pPr>
      <w:r>
        <w:rPr>
          <w:rFonts w:hint="eastAsia"/>
          <w:sz w:val="36"/>
          <w:szCs w:val="36"/>
          <w:lang w:val="en-US" w:eastAsia="zh-CN"/>
        </w:rPr>
        <w:t>学校：徐州市矿大实验学校</w:t>
      </w:r>
    </w:p>
    <w:p>
      <w:pPr>
        <w:rPr>
          <w:rFonts w:hint="eastAsia"/>
          <w:b/>
          <w:bCs/>
          <w:color w:val="000000" w:themeColor="text1"/>
          <w:sz w:val="28"/>
          <w:szCs w:val="28"/>
          <w:lang w:val="en-US" w:eastAsia="zh-CN"/>
          <w14:textFill>
            <w14:solidFill>
              <w14:schemeClr w14:val="tx1"/>
            </w14:solidFill>
          </w14:textFill>
        </w:rPr>
      </w:pPr>
    </w:p>
    <w:p>
      <w:pPr>
        <w:rPr>
          <w:rFonts w:hint="eastAsia"/>
          <w:b/>
          <w:bCs/>
          <w:color w:val="000000" w:themeColor="text1"/>
          <w:sz w:val="28"/>
          <w:szCs w:val="28"/>
          <w:lang w:val="en-US" w:eastAsia="zh-CN"/>
          <w14:textFill>
            <w14:solidFill>
              <w14:schemeClr w14:val="tx1"/>
            </w14:solidFill>
          </w14:textFill>
        </w:rPr>
      </w:pPr>
    </w:p>
    <w:p>
      <w:pPr>
        <w:rPr>
          <w:rFonts w:hint="eastAsia"/>
          <w:b/>
          <w:bCs/>
          <w:color w:val="000000" w:themeColor="text1"/>
          <w:sz w:val="28"/>
          <w:szCs w:val="28"/>
          <w:lang w:val="en-US" w:eastAsia="zh-CN"/>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课题提出背景：</w:t>
      </w:r>
    </w:p>
    <w:p>
      <w:pPr>
        <w:ind w:firstLine="480" w:firstLineChars="200"/>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近年来科技发展越来越迅速，科技实力也逐渐成为国家综合实力的决定性因素，随着资源的影响力逐渐下降，对环境保护的要求日益增高，传统工业的地位也随之下降。各个国家与地区在经济的转型阶段也在进行产业结构的调整，产业的转移，产业的转型升级，实现经济的再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党的二十大报告提出，“必须坚持科技是第一生产力、人才是第一资源、创新是第一动力，深入实施科教兴国战略、人才强国战略、创新驱动发展战略”。市委十三届三次全会指出，“着力提升科技创新能力”，“全力打造科创平台建设新高地、科技资源集聚地、区域创新生态最优地”。开辟发展新领域新赛道，塑造发展新动能新优势，徐州乘势而上</w:t>
      </w:r>
      <w:r>
        <w:rPr>
          <w:rFonts w:hint="eastAsia" w:ascii="宋体" w:hAnsi="宋体" w:eastAsia="宋体" w:cs="宋体"/>
          <w:b w:val="0"/>
          <w:bCs w:val="0"/>
          <w:i w:val="0"/>
          <w:iCs w:val="0"/>
          <w:caps w:val="0"/>
          <w:color w:val="000000" w:themeColor="text1"/>
          <w:spacing w:val="0"/>
          <w:sz w:val="24"/>
          <w:szCs w:val="24"/>
          <w:lang w:val="en-US" w:eastAsia="zh-CN"/>
          <w14:textFill>
            <w14:solidFill>
              <w14:schemeClr w14:val="tx1"/>
            </w14:solidFill>
          </w14:textFill>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铸能级，打造国家战略科技力量</w:t>
      </w:r>
      <w:r>
        <w:rPr>
          <w:rFonts w:hint="eastAsia" w:ascii="宋体" w:hAnsi="宋体" w:eastAsia="宋体" w:cs="宋体"/>
          <w:b w:val="0"/>
          <w:bCs w:val="0"/>
          <w:i w:val="0"/>
          <w:iCs w:val="0"/>
          <w:caps w:val="0"/>
          <w:color w:val="000000" w:themeColor="text1"/>
          <w:spacing w:val="0"/>
          <w:sz w:val="24"/>
          <w:szCs w:val="24"/>
          <w:lang w:eastAsia="zh-CN"/>
          <w14:textFill>
            <w14:solidFill>
              <w14:schemeClr w14:val="tx1"/>
            </w14:solidFill>
          </w14:textFill>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市委书记宋乐伟在调研科技创新工作时强调，要聚焦培育“343”创新产业集群，积极搭建创新平台，重点培育深地科学与工程云龙湖实验室、细胞治疗药物产业创新中心等重大载体，做大做强徐州经开区、徐州高新区、淮海科技城等创新发展引领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打造重大创新平台、布局战略科技力量，徐州稳步前行。今年以来，徐州4家参评高新区在全省高新区综合评价中实现全部进位，“城谷区院”改革纵深推进；云龙湖实验室被列入2022年省重大项目；全市新增国家级孵化器3家、省院士工作站2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细化科创平台建设“作战图”，江苏淮海科技城实施主要科技指标三年倍增计划：省级以上科研平台新增10家以上，“十四五”末进入全省科技园区第一方阵；徐州高新区紧盯共性关键技术，主动布局搭建各类创新平台，未来三年将年均建成国内领先的细分领域共性核心技术研发平台5个，省级以上研发平台10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沿着科创平台建设目标，徐州科技创新能级不断提升。以徐州高新区为例，截至目前，高新区累计建成各类省级以上创新平台116个，其中，国家级研发平台5个、国家级孵化器3个；设立国际技术交流转移中心3家、院士工作站2个，博士后工作站21个、新型研发机构48家、企业研发机构240余家；10家重点创新平台累计完成技术合同登记备案额近2亿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促集聚，打造创新产业集群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在“2022中国徐州第二十五届投资洽谈会”上，徐州向全球发布了“343”产业投资热力图，勾勒出徐州打造创新产业集群的轮廓。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集聚资源要素，推动创新发展，徐州加快构建“工作专班+产业联盟+创新体系+要素支撑”推进机制，编制集群发展行动计划，建立“343”集群的企业库、项目库等动态监测体系，从全局推动产业链、创新链、资金链、人才链耦合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按图索骥，一个个板块发挥创新资源优势，打造产业集聚的科创生态链条。铜山区、徐州高新区携手中国矿业大学、江苏师范大学、徐州医科大学、徐州工程学院、江苏建筑职业技术学院5所在徐高校正式成立协“铜”创新合作发展联盟，持续探索校地合作共建长效机制。徐州经济技术开发区依托卡特彼勒、徐工等龙头企业优势，集聚上下游企业，推进产业向智能化、数字化、绿色化方向发展；淮海科技城大力发展都市型产业、数字型经济、科技型总部三种产业形态，着力构建“2+1”主导产业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在平台、技术、人才的全生命周期保障、全成长要素集聚之下，一个个创新产业集群加速形成。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2021年，徐州工程机械产业除了拥有千亿企业徐工以外，还拥有百亿企业1家、10亿至100亿企业8家、亿元以上企业33家，规上企业299家；绿色低碳能源产业形成了以新能源、煤电能源、绿色环保三大主链为主导，以中能硅业、协鑫集团、新春兴等龙头企业为引领的产业集群；安全应急产业拥有矿山、工贸安全防护装备制造业集群，形成了国内安全应急装备门类最齐全的产业集聚区；精品钢材产业集聚了以徐钢集团、中新钢铁、金虹钢铁为代表的一批龙头企业，形成了精品钢材产业集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优环境，打造区域创新生态最优地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企业是技术创新的主体，激发企业主体的创新活力，最要紧的是构建良好创新生态。为此，徐州蹚新路、亮实招，从政策、人才等方面齐发力。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写好创新生态答卷，徐州在充分发挥产业规模优势、龙头企业技术优势、重点高校院所研发优势，推动平台集聚、人才集聚、产业集聚的基础上，出台《市政府关于加快推进技术转移体系建设促进科技成果转化的实施意见》《徐州市科技企业孵化器高质量发展三年提升计划》等政策，不断完善科技成果转化体制；持续扩大创新投入为企业原始创新能力提供坚实支撑，为产业开通创新“直通车”；强化校地融合发展，精准对接高校成熟科技成果与企业技术需求，促进科技成果落地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千秋基业，人才为本。徐州加快集聚高端人才资源，坚定不移实施新时代人才强市战略，以更优的政策引才、更好的环境育才、更优的服务留才，不断夯实区域科创中心人才支撑：创新“人才高地28条”“彭城英才计划”“555”引才工程等高标准人才政策，实施“人才安居工程”，着力解决子女教育、配偶安置、医疗保障等“关键小事”，为人才引育用留育沃土；制定印发《2021年全市加快推进人才创业项目建设工作方案》，重点围绕新引进的领军人才创业项目，启动实施人才企业“瞪羚计划”，实行重点项目领导包挂机制，统筹做好项目招引、落地、培育和服务工作；设立3.7亿元的“彭城英才”创业基金，推出“彭城英才”金融伙伴计划，解决人才企业投资、融资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lang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lang w:eastAsia="zh-CN"/>
          <w14:textFill>
            <w14:solidFill>
              <w14:schemeClr w14:val="tx1"/>
            </w14:solidFill>
          </w14:textFill>
        </w:rPr>
        <w:t>一城青山半城湖，五省通衢帝王乡，在历史底蕴深厚的徐州，市政府对科技的引领，为千年彭城注入了新的发展动力，给徐州这块兵家必争之地添得一抹虹梁。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right="0"/>
        <w:rPr>
          <w:rStyle w:val="5"/>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lang w:val="en-US" w:eastAsia="zh-CN"/>
          <w14:textFill>
            <w14:solidFill>
              <w14:schemeClr w14:val="tx1"/>
            </w14:solidFill>
          </w14:textFill>
        </w:rPr>
        <w:t>园区简介：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pPr>
      <w:r>
        <w:rPr>
          <w:rStyle w:val="5"/>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中国矿业大学</w:t>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begin"/>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instrText xml:space="preserve"> HYPERLINK "https://baike.so.com/"/doc/6442831-6656511.html/"" \t "https://baike.so.com/doc/\\"_blank\\"" </w:instrText>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separate"/>
      </w:r>
      <w:r>
        <w:rPr>
          <w:rStyle w:val="6"/>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t>国家大学科技园</w:t>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于2000年10月开始规划并启动建设，2002年7月被列入江苏省大学科技园建设计划，2006年10月被科技部、教育部认定为国家大学科技园。中国矿业大学国家大学科技园充分依托中国矿业大学的实验、智力、信息和科技资源优势，在徐州市政府的资金和政策支持下，以"科技成果转化、高新技术企业孵化、创新创业人才培养"为基本功能，融合技术、资本、人才和市场资源，力争用3到5年时间，把中国矿业大学国家大学科技园建设成为高新技术企业孵化、转化、成长壮大的培育基地和示范区，成为集研发机构、科技企业、科技服务于一体的，国内外有一定影响的一流国家大学科技园。园区在孵企业90余为家，毕业企业40余家;在孵企业中</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instrText xml:space="preserve"> HYPERLINK "https://baike.so.com/"/doc/5423780-5661996.html/"" \t "https://baike.so.com/doc/\\"_blank\\"" </w:instrTex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separate"/>
      </w:r>
      <w:r>
        <w:rPr>
          <w:rStyle w:val="6"/>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t>高新技术企业</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10家，毕业企业中高新技术企业15家;在孵企业与中国矿业大学有关联的占60%;在孵企业年</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instrText xml:space="preserve"> HYPERLINK "https://baike.so.com/"/doc/9362112-9700036.html/"" \t "https://baike.so.com/doc/\\"_blank\\"" </w:instrTex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separate"/>
      </w:r>
      <w:r>
        <w:rPr>
          <w:rStyle w:val="6"/>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t>技工贸收入</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4.24亿元，毕业企业年技工贸收入5亿元;近三年以来，在孵企业年技工贸收入平均年增长率80%，毕业企业年技工贸收入平均年增长率60%。2012年中国矿业大学国家大学科技园在科技部、教育部的评标中荣获"A类国家大学科技园"称号，成为江苏省唯一获此殊荣的国家大学科技园(全国17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right="0"/>
        <w:rPr>
          <w:rFonts w:hint="eastAsia" w:ascii="宋体" w:hAnsi="宋体" w:eastAsia="宋体" w:cs="宋体"/>
          <w:b w:val="0"/>
          <w:bCs w:val="0"/>
          <w:i w:val="0"/>
          <w:iCs w:val="0"/>
          <w:caps w:val="0"/>
          <w:color w:val="000000" w:themeColor="text1"/>
          <w:spacing w:val="0"/>
          <w:sz w:val="24"/>
          <w:szCs w:val="24"/>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shd w:val="clear" w:fill="FFFFFF"/>
          <w:lang w:eastAsia="zh-CN"/>
          <w14:textFill>
            <w14:solidFill>
              <w14:schemeClr w14:val="tx1"/>
            </w14:solidFill>
          </w14:textFill>
        </w:rPr>
        <w:t>任务分工</w:t>
      </w:r>
      <w:r>
        <w:rPr>
          <w:rFonts w:hint="eastAsia" w:ascii="宋体" w:hAnsi="宋体" w:eastAsia="宋体" w:cs="宋体"/>
          <w:b w:val="0"/>
          <w:bCs w:val="0"/>
          <w:i w:val="0"/>
          <w:iCs w:val="0"/>
          <w:caps w:val="0"/>
          <w:color w:val="000000" w:themeColor="text1"/>
          <w:spacing w:val="0"/>
          <w:sz w:val="28"/>
          <w:szCs w:val="28"/>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4"/>
          <w:szCs w:val="24"/>
          <w:shd w:val="clear" w:fill="FFFFFF"/>
          <w:lang w:eastAsia="zh-CN"/>
          <w14:textFill>
            <w14:solidFill>
              <w14:schemeClr w14:val="tx1"/>
            </w14:solidFill>
          </w14:textFill>
        </w:rPr>
        <w:t>大纲建立、资料收集、实地考察：滑智恒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right="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 xml:space="preserve">            大纲修订、资料汇总、总结经验：杨玉轩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firstLine="0" w:firstLineChars="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shd w:val="clear" w:fill="FFFFFF"/>
          <w:lang w:val="en-US" w:eastAsia="zh-CN"/>
          <w14:textFill>
            <w14:solidFill>
              <w14:schemeClr w14:val="tx1"/>
            </w14:solidFill>
          </w14:textFill>
        </w:rPr>
        <w:t xml:space="preserve">计划阶段： </w:t>
      </w: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第一阶段：2023年1月16日——1月24日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520" w:leftChars="0" w:right="0" w:rightChars="0"/>
        <w:rPr>
          <w:rFonts w:hint="default"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建立课题大纲、明确分工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1478" w:firstLineChars="616"/>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第二阶段：2023年1月27日——2月1日</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520" w:leftChars="0" w:right="0" w:rightChars="0" w:firstLine="0" w:firstLineChars="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合作探讨，去科技园实地考察，记录考察情况</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520" w:leftChars="0" w:right="0" w:rightChars="0" w:firstLine="0" w:firstLineChars="0"/>
        <w:rPr>
          <w:rFonts w:hint="default"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徐州矿大科技园近年来的成就</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1478" w:firstLineChars="616"/>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第三阶段：2023年2月2日——2月10日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633" w:leftChars="1254" w:right="0" w:rightChars="0" w:firstLine="0" w:firstLineChars="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运用所学知识、收集的资料及考察经历，分析矿大科技园对当地的影响</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1478" w:firstLineChars="616"/>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第四阶段：2023年2月11日——2月15日</w:t>
      </w:r>
    </w:p>
    <w:p>
      <w:pPr>
        <w:numPr>
          <w:ilvl w:val="0"/>
          <w:numId w:val="2"/>
        </w:numPr>
        <w:ind w:firstLine="2880" w:firstLineChars="1200"/>
        <w:jc w:val="left"/>
        <w:rPr>
          <w:rFonts w:hint="eastAsia"/>
          <w:b w:val="0"/>
          <w:bCs w:val="0"/>
          <w:sz w:val="24"/>
          <w:szCs w:val="28"/>
          <w:lang w:val="en-US" w:eastAsia="zh-CN"/>
        </w:rPr>
      </w:pPr>
      <w:r>
        <w:rPr>
          <w:rFonts w:hint="eastAsia"/>
          <w:b w:val="0"/>
          <w:bCs w:val="0"/>
          <w:sz w:val="24"/>
          <w:szCs w:val="28"/>
          <w:lang w:val="en-US" w:eastAsia="zh-CN"/>
        </w:rPr>
        <w:t>汇总内容</w:t>
      </w:r>
    </w:p>
    <w:p>
      <w:pPr>
        <w:numPr>
          <w:ilvl w:val="0"/>
          <w:numId w:val="2"/>
        </w:numPr>
        <w:ind w:firstLine="2880" w:firstLineChars="1200"/>
        <w:jc w:val="left"/>
        <w:rPr>
          <w:rFonts w:hint="eastAsia"/>
          <w:b w:val="0"/>
          <w:bCs w:val="0"/>
          <w:sz w:val="24"/>
          <w:szCs w:val="28"/>
          <w:lang w:val="en-US" w:eastAsia="zh-CN"/>
        </w:rPr>
      </w:pPr>
      <w:r>
        <w:rPr>
          <w:rFonts w:hint="eastAsia"/>
          <w:b w:val="0"/>
          <w:bCs w:val="0"/>
          <w:sz w:val="24"/>
          <w:szCs w:val="28"/>
          <w:lang w:val="en-US" w:eastAsia="zh-CN"/>
        </w:rPr>
        <w:t>总结反思</w:t>
      </w:r>
    </w:p>
    <w:p>
      <w:pPr>
        <w:numPr>
          <w:ilvl w:val="0"/>
          <w:numId w:val="0"/>
        </w:numPr>
        <w:jc w:val="left"/>
        <w:rPr>
          <w:rFonts w:hint="eastAsia"/>
          <w:b/>
          <w:bCs/>
          <w:sz w:val="28"/>
          <w:szCs w:val="32"/>
          <w:lang w:val="en-US" w:eastAsia="zh-CN"/>
        </w:rPr>
      </w:pPr>
      <w:r>
        <w:rPr>
          <w:rFonts w:hint="eastAsia"/>
          <w:b/>
          <w:bCs/>
          <w:sz w:val="28"/>
          <w:szCs w:val="32"/>
          <w:lang w:val="en-US" w:eastAsia="zh-CN"/>
        </w:rPr>
        <w:t>活动反思：</w:t>
      </w:r>
    </w:p>
    <w:p>
      <w:pPr>
        <w:numPr>
          <w:ilvl w:val="0"/>
          <w:numId w:val="3"/>
        </w:numPr>
        <w:ind w:left="0" w:leftChars="0" w:firstLine="0" w:firstLineChars="0"/>
        <w:jc w:val="left"/>
        <w:rPr>
          <w:rFonts w:hint="eastAsia"/>
          <w:b w:val="0"/>
          <w:bCs w:val="0"/>
          <w:sz w:val="24"/>
          <w:szCs w:val="28"/>
          <w:lang w:val="en-US" w:eastAsia="zh-CN"/>
        </w:rPr>
      </w:pPr>
      <w:r>
        <w:rPr>
          <w:rFonts w:hint="eastAsia"/>
          <w:b w:val="0"/>
          <w:bCs w:val="0"/>
          <w:sz w:val="24"/>
          <w:szCs w:val="28"/>
          <w:lang w:val="en-US" w:eastAsia="zh-CN"/>
        </w:rPr>
        <w:t>本次活动在最开始的实地考查阶段就出现了如下问题：没有好好准备提问的问题、对于提问的对象选择不够明确、对于突发事件的处理欠佳。最后的实地考察结果十分糟糕，并未获得什么有价值的信息。不过也正是因为这次经历，让我认识到在做事前认真准备的重要性，绝对不能打无准备之战。</w:t>
      </w:r>
    </w:p>
    <w:p>
      <w:pPr>
        <w:numPr>
          <w:ilvl w:val="0"/>
          <w:numId w:val="3"/>
        </w:numPr>
        <w:ind w:left="0" w:leftChars="0" w:firstLine="0" w:firstLineChars="0"/>
        <w:jc w:val="left"/>
        <w:rPr>
          <w:rFonts w:hint="default"/>
          <w:b w:val="0"/>
          <w:bCs w:val="0"/>
          <w:sz w:val="24"/>
          <w:szCs w:val="28"/>
          <w:lang w:val="en-US" w:eastAsia="zh-CN"/>
        </w:rPr>
      </w:pPr>
      <w:r>
        <w:rPr>
          <w:rFonts w:hint="eastAsia"/>
          <w:b w:val="0"/>
          <w:bCs w:val="0"/>
          <w:sz w:val="24"/>
          <w:szCs w:val="28"/>
          <w:lang w:val="en-US" w:eastAsia="zh-CN"/>
        </w:rPr>
        <w:t>在团队合作方面，我在调和两人之间的任务之间出现了问题，如对于时间的安排没能考虑到组员、没有充分发挥我们每个人的主观能动性等等，导致组员之间合作的效率变低，没能做到让团队之间合作的效果是1+1&gt;2。对于文案的编写两个人的文笔衔接不够流畅，自己的东西欠佳，对材料的概括整合能力有待提升。</w:t>
      </w:r>
    </w:p>
    <w:p>
      <w:pPr>
        <w:numPr>
          <w:ilvl w:val="0"/>
          <w:numId w:val="3"/>
        </w:numPr>
        <w:ind w:left="0" w:leftChars="0" w:firstLine="0" w:firstLineChars="0"/>
        <w:jc w:val="left"/>
        <w:rPr>
          <w:rFonts w:hint="default"/>
          <w:b w:val="0"/>
          <w:bCs w:val="0"/>
          <w:sz w:val="24"/>
          <w:szCs w:val="28"/>
          <w:lang w:val="en-US" w:eastAsia="zh-CN"/>
        </w:rPr>
      </w:pPr>
      <w:r>
        <w:rPr>
          <w:rFonts w:hint="eastAsia"/>
          <w:b w:val="0"/>
          <w:bCs w:val="0"/>
          <w:sz w:val="24"/>
          <w:szCs w:val="28"/>
          <w:lang w:val="en-US" w:eastAsia="zh-CN"/>
        </w:rPr>
        <w:t>本次研究性学习提升了我们的深度思考能力、对问题的剖析能力、创新能力，在看待问题应抓住问题的主要矛盾，并随之给出相应的对策。</w:t>
      </w:r>
    </w:p>
    <w:p>
      <w:pPr>
        <w:numPr>
          <w:ilvl w:val="0"/>
          <w:numId w:val="0"/>
        </w:numPr>
        <w:ind w:leftChars="0"/>
        <w:jc w:val="left"/>
        <w:rPr>
          <w:rFonts w:hint="eastAsia"/>
          <w:b w:val="0"/>
          <w:bCs w:val="0"/>
          <w:sz w:val="24"/>
          <w:szCs w:val="28"/>
          <w:lang w:val="en-US" w:eastAsia="zh-CN"/>
        </w:rPr>
      </w:pPr>
      <w:r>
        <w:rPr>
          <w:rFonts w:hint="eastAsia"/>
          <w:b/>
          <w:bCs/>
          <w:sz w:val="28"/>
          <w:szCs w:val="32"/>
          <w:lang w:val="en-US" w:eastAsia="zh-CN"/>
        </w:rPr>
        <w:t>活动收获：</w:t>
      </w:r>
    </w:p>
    <w:p>
      <w:pPr>
        <w:numPr>
          <w:ilvl w:val="0"/>
          <w:numId w:val="0"/>
        </w:numPr>
        <w:ind w:leftChars="0" w:firstLine="480" w:firstLineChars="200"/>
        <w:jc w:val="left"/>
        <w:rPr>
          <w:rFonts w:hint="default"/>
          <w:b w:val="0"/>
          <w:bCs w:val="0"/>
          <w:sz w:val="24"/>
          <w:szCs w:val="28"/>
          <w:lang w:val="en-US" w:eastAsia="zh-CN"/>
        </w:rPr>
      </w:pPr>
      <w:r>
        <w:rPr>
          <w:rFonts w:hint="default"/>
          <w:b w:val="0"/>
          <w:bCs w:val="0"/>
          <w:sz w:val="24"/>
          <w:szCs w:val="28"/>
          <w:lang w:val="en-US" w:eastAsia="zh-CN"/>
        </w:rPr>
        <w:t>古人云</w:t>
      </w:r>
      <w:r>
        <w:rPr>
          <w:rFonts w:hint="eastAsia"/>
          <w:b w:val="0"/>
          <w:bCs w:val="0"/>
          <w:sz w:val="24"/>
          <w:szCs w:val="28"/>
          <w:lang w:val="en-US" w:eastAsia="zh-CN"/>
        </w:rPr>
        <w:t>：“</w:t>
      </w:r>
      <w:r>
        <w:rPr>
          <w:rFonts w:hint="default"/>
          <w:b w:val="0"/>
          <w:bCs w:val="0"/>
          <w:sz w:val="24"/>
          <w:szCs w:val="28"/>
          <w:lang w:val="en-US" w:eastAsia="zh-CN"/>
        </w:rPr>
        <w:t>纸上得来终觉浅，绝知此事要躬行</w:t>
      </w:r>
      <w:r>
        <w:rPr>
          <w:rFonts w:hint="eastAsia"/>
          <w:b w:val="0"/>
          <w:bCs w:val="0"/>
          <w:sz w:val="24"/>
          <w:szCs w:val="28"/>
          <w:lang w:val="en-US" w:eastAsia="zh-CN"/>
        </w:rPr>
        <w:t>。”</w:t>
      </w:r>
      <w:r>
        <w:rPr>
          <w:rFonts w:hint="default"/>
          <w:b w:val="0"/>
          <w:bCs w:val="0"/>
          <w:sz w:val="24"/>
          <w:szCs w:val="28"/>
          <w:lang w:val="en-US" w:eastAsia="zh-CN"/>
        </w:rPr>
        <w:t>在书本上看到的</w:t>
      </w:r>
      <w:r>
        <w:rPr>
          <w:rFonts w:hint="eastAsia"/>
          <w:b w:val="0"/>
          <w:bCs w:val="0"/>
          <w:sz w:val="24"/>
          <w:szCs w:val="28"/>
          <w:lang w:val="en-US" w:eastAsia="zh-CN"/>
        </w:rPr>
        <w:t>科技园</w:t>
      </w:r>
      <w:r>
        <w:rPr>
          <w:rFonts w:hint="default"/>
          <w:b w:val="0"/>
          <w:bCs w:val="0"/>
          <w:sz w:val="24"/>
          <w:szCs w:val="28"/>
          <w:lang w:val="en-US" w:eastAsia="zh-CN"/>
        </w:rPr>
        <w:t>与实际上到达的产业园完全是两个东西在实地考察前想着自己是如何幽默风趣，侃侃而谈，可是到了真正对话时的我却支支吾吾，前言不搭后语。理想与现实的差距需要我用努力去弥补</w:t>
      </w:r>
      <w:r>
        <w:rPr>
          <w:rFonts w:hint="eastAsia"/>
          <w:b w:val="0"/>
          <w:bCs w:val="0"/>
          <w:sz w:val="24"/>
          <w:szCs w:val="28"/>
          <w:lang w:val="en-US" w:eastAsia="zh-CN"/>
        </w:rPr>
        <w:t>。</w:t>
      </w:r>
      <w:r>
        <w:rPr>
          <w:rFonts w:hint="default"/>
          <w:b w:val="0"/>
          <w:bCs w:val="0"/>
          <w:sz w:val="24"/>
          <w:szCs w:val="28"/>
          <w:lang w:val="en-US" w:eastAsia="zh-CN"/>
        </w:rPr>
        <w:t>在团队合作中，我身为组长却未能做到强大的领导力。为能使组员之间的合作更加有效，我认为原因在于我放不开，不敢说，缺少魄力，在今后的学习生活中，我认为应该放开手，不要优柔寡断。在深度探究阶段，我认为我们应该深入去思考，去另辟蹊径，去想一些别人未曾想到的道路</w:t>
      </w:r>
      <w:r>
        <w:rPr>
          <w:rFonts w:hint="eastAsia"/>
          <w:b w:val="0"/>
          <w:bCs w:val="0"/>
          <w:sz w:val="24"/>
          <w:szCs w:val="28"/>
          <w:lang w:val="en-US" w:eastAsia="zh-CN"/>
        </w:rPr>
        <w:t>，</w:t>
      </w:r>
      <w:r>
        <w:rPr>
          <w:rFonts w:hint="default"/>
          <w:b w:val="0"/>
          <w:bCs w:val="0"/>
          <w:sz w:val="24"/>
          <w:szCs w:val="28"/>
          <w:lang w:val="en-US" w:eastAsia="zh-CN"/>
        </w:rPr>
        <w:t>只有这样才能不断进步，获得新的知识。</w:t>
      </w:r>
    </w:p>
    <w:p>
      <w:pPr>
        <w:rPr>
          <w:rFonts w:hint="eastAsia"/>
          <w:b/>
          <w:bCs/>
          <w:color w:val="000000" w:themeColor="text1"/>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12424"/>
    <w:multiLevelType w:val="singleLevel"/>
    <w:tmpl w:val="E7712424"/>
    <w:lvl w:ilvl="0" w:tentative="0">
      <w:start w:val="1"/>
      <w:numFmt w:val="decimal"/>
      <w:suff w:val="nothing"/>
      <w:lvlText w:val="%1、"/>
      <w:lvlJc w:val="left"/>
      <w:pPr>
        <w:ind w:left="480" w:leftChars="0" w:firstLine="0" w:firstLineChars="0"/>
      </w:pPr>
    </w:lvl>
  </w:abstractNum>
  <w:abstractNum w:abstractNumId="1">
    <w:nsid w:val="FBFE0C11"/>
    <w:multiLevelType w:val="singleLevel"/>
    <w:tmpl w:val="FBFE0C11"/>
    <w:lvl w:ilvl="0" w:tentative="0">
      <w:start w:val="1"/>
      <w:numFmt w:val="decimal"/>
      <w:suff w:val="nothing"/>
      <w:lvlText w:val="（%1）"/>
      <w:lvlJc w:val="left"/>
      <w:pPr>
        <w:ind w:left="2678" w:leftChars="0" w:firstLine="0" w:firstLineChars="0"/>
      </w:pPr>
    </w:lvl>
  </w:abstractNum>
  <w:abstractNum w:abstractNumId="2">
    <w:nsid w:val="66C706F3"/>
    <w:multiLevelType w:val="singleLevel"/>
    <w:tmpl w:val="66C706F3"/>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4A8B60EA"/>
    <w:rsid w:val="03D90065"/>
    <w:rsid w:val="03F62DA4"/>
    <w:rsid w:val="0C252478"/>
    <w:rsid w:val="10305CB3"/>
    <w:rsid w:val="13785584"/>
    <w:rsid w:val="4A8B60EA"/>
    <w:rsid w:val="59B11E63"/>
    <w:rsid w:val="6F4C3B84"/>
    <w:rsid w:val="74841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3484</Words>
  <Characters>3580</Characters>
  <Lines>0</Lines>
  <Paragraphs>0</Paragraphs>
  <TotalTime>0</TotalTime>
  <ScaleCrop>false</ScaleCrop>
  <LinksUpToDate>false</LinksUpToDate>
  <CharactersWithSpaces>3604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2023-03-05T15:08:00Z</dcterms:created>
  <dc:creator>Administrator</dc:creator>
  <cp:lastModifiedBy>Administrator</cp:lastModifiedBy>
  <dcterms:modified xsi:type="dcterms:W3CDTF">2023-03-09T00:55:55Z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7C11EA99376D495B8428EC31A83CDE98</vt:lpwstr>
  </property>
</Properties>
</file>